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华文中宋" w:eastAsia="仿宋_GB2312" w:cs="Times New Roman"/>
          <w:sz w:val="32"/>
          <w:szCs w:val="32"/>
        </w:rPr>
      </w:pPr>
      <w:bookmarkStart w:id="0" w:name="_GoBack"/>
      <w:bookmarkEnd w:id="0"/>
      <w:r>
        <w:rPr>
          <w:rFonts w:hint="eastAsia" w:ascii="仿宋_GB2312" w:hAnsi="华文中宋" w:eastAsia="仿宋_GB2312" w:cs="Times New Roman"/>
          <w:sz w:val="32"/>
          <w:szCs w:val="32"/>
        </w:rPr>
        <w:t>附件1：</w:t>
      </w:r>
    </w:p>
    <w:p>
      <w:pPr>
        <w:jc w:val="center"/>
        <w:rPr>
          <w:rFonts w:ascii="华文中宋" w:hAnsi="华文中宋" w:eastAsia="华文中宋"/>
          <w:sz w:val="36"/>
          <w:szCs w:val="36"/>
        </w:rPr>
      </w:pPr>
      <w:r>
        <w:rPr>
          <w:rFonts w:hint="eastAsia" w:ascii="华文中宋" w:hAnsi="华文中宋" w:eastAsia="华文中宋"/>
          <w:sz w:val="36"/>
          <w:szCs w:val="36"/>
        </w:rPr>
        <w:t>民间非营利组织会计制度解释第1号</w:t>
      </w:r>
    </w:p>
    <w:p>
      <w:pPr>
        <w:spacing w:afterLines="100" w:line="360" w:lineRule="auto"/>
        <w:jc w:val="center"/>
        <w:rPr>
          <w:rFonts w:ascii="华文中宋" w:hAnsi="华文中宋" w:eastAsia="华文中宋"/>
          <w:sz w:val="36"/>
          <w:szCs w:val="36"/>
        </w:rPr>
      </w:pPr>
      <w:r>
        <w:rPr>
          <w:rFonts w:hint="eastAsia" w:ascii="仿宋_GB2312" w:hAnsi="华文中宋" w:eastAsia="仿宋_GB2312" w:cs="华文中宋"/>
          <w:bCs/>
          <w:kern w:val="0"/>
          <w:sz w:val="32"/>
          <w:szCs w:val="32"/>
        </w:rPr>
        <w:t>（征求意见稿）</w:t>
      </w:r>
    </w:p>
    <w:p>
      <w:pPr>
        <w:ind w:firstLine="640" w:firstLineChars="200"/>
        <w:rPr>
          <w:rFonts w:ascii="仿宋_GB2312" w:hAnsi="仿宋" w:eastAsia="仿宋_GB2312"/>
          <w:sz w:val="32"/>
          <w:szCs w:val="32"/>
        </w:rPr>
      </w:pPr>
      <w:r>
        <w:rPr>
          <w:rFonts w:hint="eastAsia" w:ascii="仿宋_GB2312" w:hAnsi="仿宋" w:eastAsia="仿宋_GB2312"/>
          <w:sz w:val="32"/>
          <w:szCs w:val="32"/>
        </w:rPr>
        <w:t>本解释是对《民间非营利组织会计制度》（财会〔2004〕7号，以下简称《民非制度》）的补充和完善。本解释内容与《民非制度》不一致的，以本解释为准。</w:t>
      </w:r>
    </w:p>
    <w:p>
      <w:pPr>
        <w:ind w:firstLine="640" w:firstLineChars="200"/>
        <w:rPr>
          <w:rFonts w:ascii="黑体" w:hAnsi="黑体" w:eastAsia="黑体"/>
          <w:sz w:val="32"/>
          <w:szCs w:val="32"/>
        </w:rPr>
      </w:pPr>
      <w:r>
        <w:rPr>
          <w:rFonts w:hint="eastAsia" w:ascii="黑体" w:hAnsi="黑体" w:eastAsia="黑体"/>
          <w:sz w:val="32"/>
          <w:szCs w:val="32"/>
        </w:rPr>
        <w:t>一、关于实施范围</w:t>
      </w:r>
    </w:p>
    <w:p>
      <w:pPr>
        <w:ind w:firstLine="640" w:firstLineChars="200"/>
        <w:rPr>
          <w:rFonts w:ascii="仿宋_GB2312" w:hAnsi="仿宋" w:eastAsia="仿宋_GB2312"/>
          <w:sz w:val="32"/>
          <w:szCs w:val="32"/>
        </w:rPr>
      </w:pPr>
      <w:r>
        <w:rPr>
          <w:rFonts w:hint="eastAsia" w:ascii="仿宋_GB2312" w:hAnsi="仿宋" w:eastAsia="仿宋_GB2312"/>
          <w:sz w:val="32"/>
          <w:szCs w:val="32"/>
        </w:rPr>
        <w:t>《民非制度》适用于在中华人民共和国境内依法设立的符合本制度规定特征的民间非营利组织。民间非营利组织包括依照国家法律、行政法规设立或登记的社会团体、基金会、社会服务机构、宗教活动场所、宗教院校和境外非政府组织代表机构等。</w:t>
      </w:r>
    </w:p>
    <w:p>
      <w:pPr>
        <w:ind w:firstLine="640" w:firstLineChars="200"/>
        <w:rPr>
          <w:rFonts w:ascii="仿宋_GB2312" w:hAnsi="仿宋" w:eastAsia="仿宋_GB2312"/>
          <w:sz w:val="32"/>
          <w:szCs w:val="32"/>
        </w:rPr>
      </w:pPr>
      <w:r>
        <w:rPr>
          <w:rFonts w:hint="eastAsia" w:ascii="仿宋_GB2312" w:hAnsi="仿宋" w:eastAsia="仿宋_GB2312"/>
          <w:sz w:val="32"/>
          <w:szCs w:val="32"/>
        </w:rPr>
        <w:t>适用本制度的民间非营利组织应当同时具备以下特征：</w:t>
      </w:r>
    </w:p>
    <w:p>
      <w:pPr>
        <w:ind w:firstLine="640" w:firstLineChars="200"/>
        <w:rPr>
          <w:rFonts w:ascii="仿宋_GB2312" w:hAnsi="仿宋" w:eastAsia="仿宋_GB2312"/>
          <w:sz w:val="32"/>
          <w:szCs w:val="32"/>
        </w:rPr>
      </w:pPr>
      <w:r>
        <w:rPr>
          <w:rFonts w:hint="eastAsia" w:ascii="仿宋_GB2312" w:hAnsi="仿宋" w:eastAsia="仿宋_GB2312"/>
          <w:sz w:val="32"/>
          <w:szCs w:val="32"/>
        </w:rPr>
        <w:t>（一）该组织为公益目的或者其他非营利目的成立；</w:t>
      </w:r>
    </w:p>
    <w:p>
      <w:pPr>
        <w:ind w:firstLine="640" w:firstLineChars="200"/>
        <w:rPr>
          <w:rFonts w:ascii="仿宋_GB2312" w:hAnsi="仿宋" w:eastAsia="仿宋_GB2312"/>
          <w:sz w:val="32"/>
          <w:szCs w:val="32"/>
        </w:rPr>
      </w:pPr>
      <w:r>
        <w:rPr>
          <w:rFonts w:hint="eastAsia" w:ascii="仿宋_GB2312" w:hAnsi="仿宋" w:eastAsia="仿宋_GB2312"/>
          <w:sz w:val="32"/>
          <w:szCs w:val="32"/>
        </w:rPr>
        <w:t>（二）该组织不向出资人、设立人或者会员分配所取得利润；</w:t>
      </w:r>
    </w:p>
    <w:p>
      <w:pPr>
        <w:ind w:firstLine="640" w:firstLineChars="200"/>
        <w:rPr>
          <w:rFonts w:ascii="仿宋_GB2312" w:hAnsi="仿宋" w:eastAsia="仿宋_GB2312"/>
          <w:sz w:val="32"/>
          <w:szCs w:val="32"/>
        </w:rPr>
      </w:pPr>
      <w:r>
        <w:rPr>
          <w:rFonts w:hint="eastAsia" w:ascii="仿宋_GB2312" w:hAnsi="仿宋" w:eastAsia="仿宋_GB2312"/>
          <w:sz w:val="32"/>
          <w:szCs w:val="32"/>
        </w:rPr>
        <w:t>（三）出资人对投入该组织的财产不保留或享有任何财产权利。</w:t>
      </w:r>
    </w:p>
    <w:p>
      <w:pPr>
        <w:ind w:firstLine="640" w:firstLineChars="200"/>
        <w:rPr>
          <w:rFonts w:ascii="黑体" w:hAnsi="黑体" w:eastAsia="黑体"/>
          <w:sz w:val="32"/>
          <w:szCs w:val="32"/>
        </w:rPr>
      </w:pPr>
      <w:r>
        <w:rPr>
          <w:rFonts w:hint="eastAsia" w:ascii="黑体" w:hAnsi="黑体" w:eastAsia="黑体"/>
          <w:sz w:val="32"/>
          <w:szCs w:val="32"/>
        </w:rPr>
        <w:t>二、关于长期股权投资和合并会计报表</w:t>
      </w:r>
    </w:p>
    <w:p>
      <w:pPr>
        <w:ind w:firstLine="640" w:firstLineChars="200"/>
        <w:rPr>
          <w:rFonts w:ascii="仿宋_GB2312" w:hAnsi="仿宋" w:eastAsia="仿宋_GB2312"/>
          <w:sz w:val="32"/>
          <w:szCs w:val="32"/>
        </w:rPr>
      </w:pPr>
      <w:r>
        <w:rPr>
          <w:rFonts w:hint="eastAsia" w:ascii="仿宋_GB2312" w:hAnsi="仿宋" w:eastAsia="仿宋_GB2312"/>
          <w:sz w:val="32"/>
          <w:szCs w:val="32"/>
        </w:rPr>
        <w:t>（一）对于因接受股权捐赠形成的表决权、分红权与股权比例不一致的长期股权投资，民间非营利组织应当根据经济业务实质判断是否对被投资单位具有控制、共同控制或重大影响。</w:t>
      </w:r>
    </w:p>
    <w:p>
      <w:pPr>
        <w:ind w:firstLine="640" w:firstLineChars="200"/>
        <w:rPr>
          <w:rFonts w:ascii="仿宋_GB2312" w:hAnsi="仿宋" w:eastAsia="仿宋_GB2312"/>
          <w:sz w:val="32"/>
          <w:szCs w:val="32"/>
        </w:rPr>
      </w:pPr>
      <w:r>
        <w:rPr>
          <w:rFonts w:hint="eastAsia" w:ascii="仿宋_GB2312" w:hAnsi="仿宋" w:eastAsia="仿宋_GB2312"/>
          <w:sz w:val="32"/>
          <w:szCs w:val="32"/>
        </w:rPr>
        <w:t>（二）民间非营利组织对外投资，对被投资单位具有控制权的，应当视管理需要编制合并会计报表。</w:t>
      </w:r>
    </w:p>
    <w:p>
      <w:pPr>
        <w:ind w:firstLine="640" w:firstLineChars="200"/>
        <w:rPr>
          <w:rFonts w:ascii="Times New Roman" w:hAnsi="Times New Roman" w:eastAsia="黑体" w:cs="Times New Roman"/>
          <w:sz w:val="24"/>
          <w:szCs w:val="24"/>
          <w:u w:color="0070C0"/>
        </w:rPr>
      </w:pPr>
      <w:r>
        <w:rPr>
          <w:rFonts w:hint="eastAsia" w:ascii="黑体" w:hAnsi="黑体" w:eastAsia="黑体"/>
          <w:sz w:val="32"/>
          <w:szCs w:val="32"/>
        </w:rPr>
        <w:t>三、关于长期待摊费用</w:t>
      </w:r>
    </w:p>
    <w:p>
      <w:pPr>
        <w:ind w:firstLine="640" w:firstLineChars="200"/>
        <w:rPr>
          <w:rFonts w:ascii="仿宋_GB2312" w:hAnsi="仿宋" w:eastAsia="仿宋_GB2312"/>
          <w:sz w:val="32"/>
          <w:szCs w:val="32"/>
        </w:rPr>
      </w:pPr>
      <w:r>
        <w:rPr>
          <w:rFonts w:hint="eastAsia" w:ascii="仿宋_GB2312" w:hAnsi="仿宋" w:eastAsia="仿宋_GB2312"/>
          <w:sz w:val="32"/>
          <w:szCs w:val="32"/>
        </w:rPr>
        <w:t>（一）民间非营利组织应当增设“1801长期待摊费用”科目，核算已经发生但应由本期和以后各期负担的分摊期限在1年以上（不含1年）的各项费用，如以经营租赁方式租入的固定资产发生的改良支出等。</w:t>
      </w:r>
    </w:p>
    <w:p>
      <w:pPr>
        <w:ind w:firstLine="640" w:firstLineChars="200"/>
        <w:rPr>
          <w:rFonts w:ascii="仿宋_GB2312" w:hAnsi="仿宋" w:eastAsia="仿宋_GB2312"/>
          <w:sz w:val="32"/>
          <w:szCs w:val="32"/>
        </w:rPr>
      </w:pPr>
      <w:r>
        <w:rPr>
          <w:rFonts w:hint="eastAsia" w:ascii="仿宋_GB2312" w:hAnsi="仿宋" w:eastAsia="仿宋_GB2312"/>
          <w:sz w:val="32"/>
          <w:szCs w:val="32"/>
        </w:rPr>
        <w:t>（二）民间非营利组织发生长期待摊费用时，借记“长期待摊费用”科目，贷记“银行存款”等科目。摊销长期待摊费用时，借记“业务活动成本”“管理费用”等科目，贷记“长期待摊费用”科目。</w:t>
      </w:r>
    </w:p>
    <w:p>
      <w:pPr>
        <w:ind w:firstLine="640" w:firstLineChars="200"/>
        <w:rPr>
          <w:rFonts w:ascii="仿宋_GB2312" w:hAnsi="仿宋" w:eastAsia="仿宋_GB2312"/>
          <w:sz w:val="32"/>
          <w:szCs w:val="32"/>
        </w:rPr>
      </w:pPr>
      <w:r>
        <w:rPr>
          <w:rFonts w:hint="eastAsia" w:ascii="仿宋_GB2312" w:hAnsi="仿宋" w:eastAsia="仿宋_GB2312"/>
          <w:sz w:val="32"/>
          <w:szCs w:val="32"/>
        </w:rPr>
        <w:t>（三）“长期待摊费用”科目期末借方余额，反映民间非营利组织尚未摊销完毕的长期待摊费用。</w:t>
      </w:r>
    </w:p>
    <w:p>
      <w:pPr>
        <w:ind w:firstLine="640" w:firstLineChars="200"/>
        <w:rPr>
          <w:rFonts w:ascii="仿宋_GB2312" w:hAnsi="仿宋" w:eastAsia="仿宋_GB2312"/>
          <w:sz w:val="32"/>
          <w:szCs w:val="32"/>
        </w:rPr>
      </w:pPr>
      <w:r>
        <w:rPr>
          <w:rFonts w:hint="eastAsia" w:ascii="仿宋_GB2312" w:hAnsi="仿宋" w:eastAsia="仿宋_GB2312"/>
          <w:sz w:val="32"/>
          <w:szCs w:val="32"/>
        </w:rPr>
        <w:t>（四）民间非营利组织应当在资产负债表资产部分“无形资产”项目与“受托代理资产：”项目之间增加“长期待摊费用”项目。本项目应当根据“长期待摊费用”科目的期末余额填列。</w:t>
      </w:r>
    </w:p>
    <w:p>
      <w:pPr>
        <w:ind w:firstLine="640" w:firstLineChars="200"/>
        <w:rPr>
          <w:rFonts w:ascii="黑体" w:hAnsi="黑体" w:eastAsia="黑体"/>
          <w:sz w:val="32"/>
          <w:szCs w:val="32"/>
        </w:rPr>
      </w:pPr>
      <w:r>
        <w:rPr>
          <w:rFonts w:hint="eastAsia" w:ascii="黑体" w:hAnsi="黑体" w:eastAsia="黑体"/>
          <w:sz w:val="32"/>
          <w:szCs w:val="32"/>
        </w:rPr>
        <w:t>四、关于注册资金</w:t>
      </w:r>
    </w:p>
    <w:p>
      <w:pPr>
        <w:ind w:firstLine="640" w:firstLineChars="200"/>
        <w:rPr>
          <w:rFonts w:ascii="仿宋_GB2312" w:hAnsi="仿宋" w:eastAsia="仿宋_GB2312"/>
          <w:sz w:val="32"/>
          <w:szCs w:val="32"/>
        </w:rPr>
      </w:pPr>
      <w:r>
        <w:rPr>
          <w:rFonts w:hint="eastAsia" w:ascii="仿宋_GB2312" w:hAnsi="仿宋" w:eastAsia="仿宋_GB2312"/>
          <w:sz w:val="32"/>
          <w:szCs w:val="32"/>
        </w:rPr>
        <w:t>（一）民间非营利组织设立时取得的注册资金，其使用受到时间限制、用途限制的，在取得时直接计入限定性净资产；其使用没有受到时间限制、用途限制的，在取得时直接计入非限定性净资产。</w:t>
      </w:r>
    </w:p>
    <w:p>
      <w:pPr>
        <w:ind w:firstLine="640" w:firstLineChars="200"/>
        <w:rPr>
          <w:rFonts w:ascii="仿宋_GB2312" w:hAnsi="仿宋" w:eastAsia="仿宋_GB2312"/>
          <w:sz w:val="32"/>
          <w:szCs w:val="32"/>
        </w:rPr>
      </w:pPr>
      <w:r>
        <w:rPr>
          <w:rFonts w:hint="eastAsia" w:ascii="仿宋_GB2312" w:hAnsi="仿宋" w:eastAsia="仿宋_GB2312"/>
          <w:sz w:val="32"/>
          <w:szCs w:val="32"/>
        </w:rPr>
        <w:t>（二）民间非营利组织变更登记注册资金，不涉及资金变动的，无需进行会计处理；涉及接受资金投入的，应当记入“捐赠收入”等科目。</w:t>
      </w:r>
    </w:p>
    <w:p>
      <w:pPr>
        <w:ind w:firstLine="640" w:firstLineChars="200"/>
        <w:rPr>
          <w:rFonts w:ascii="仿宋_GB2312" w:hAnsi="仿宋" w:eastAsia="仿宋_GB2312"/>
          <w:sz w:val="32"/>
          <w:szCs w:val="32"/>
        </w:rPr>
      </w:pPr>
      <w:r>
        <w:rPr>
          <w:rFonts w:hint="eastAsia" w:ascii="仿宋_GB2312" w:hAnsi="仿宋" w:eastAsia="仿宋_GB2312"/>
          <w:sz w:val="32"/>
          <w:szCs w:val="32"/>
        </w:rPr>
        <w:t>（三）民间非营利组织设立时取得的注册资金，应当在现金流量表“收到的其他与筹资活动有关的现金”项目中填列。</w:t>
      </w:r>
    </w:p>
    <w:p>
      <w:pPr>
        <w:ind w:firstLine="640" w:firstLineChars="200"/>
        <w:rPr>
          <w:rFonts w:ascii="Times New Roman" w:hAnsi="Times New Roman" w:eastAsia="黑体" w:cs="Times New Roman"/>
          <w:sz w:val="24"/>
          <w:szCs w:val="24"/>
          <w:u w:color="0070C0"/>
        </w:rPr>
      </w:pPr>
      <w:r>
        <w:rPr>
          <w:rFonts w:hint="eastAsia" w:ascii="黑体" w:hAnsi="黑体" w:eastAsia="黑体"/>
          <w:sz w:val="32"/>
          <w:szCs w:val="32"/>
        </w:rPr>
        <w:t>五、关于限定性净资产</w:t>
      </w:r>
    </w:p>
    <w:p>
      <w:pPr>
        <w:ind w:firstLine="640" w:firstLineChars="200"/>
        <w:rPr>
          <w:rFonts w:ascii="仿宋_GB2312" w:hAnsi="仿宋" w:eastAsia="仿宋_GB2312"/>
          <w:sz w:val="32"/>
          <w:szCs w:val="32"/>
        </w:rPr>
      </w:pPr>
      <w:r>
        <w:rPr>
          <w:rFonts w:hint="eastAsia" w:ascii="仿宋_GB2312" w:hAnsi="仿宋" w:eastAsia="仿宋_GB2312"/>
          <w:sz w:val="32"/>
          <w:szCs w:val="32"/>
        </w:rPr>
        <w:t>（一）民间非营利组织的净资产应当按照其是否受到限制，分为限定性净资产和非限定性净资产。资产提供者或者国家有关法律、行政法规所设置的限制只有在比民间非营利组织的宗旨、目的或章程等更为具体时，该受限制的净资产才属于本制度所界定的限定性净资产。</w:t>
      </w:r>
    </w:p>
    <w:p>
      <w:pPr>
        <w:ind w:firstLine="640" w:firstLineChars="200"/>
        <w:rPr>
          <w:rFonts w:ascii="仿宋_GB2312" w:hAnsi="仿宋" w:eastAsia="仿宋_GB2312"/>
          <w:sz w:val="32"/>
          <w:szCs w:val="32"/>
        </w:rPr>
      </w:pPr>
      <w:r>
        <w:rPr>
          <w:rFonts w:hint="eastAsia" w:ascii="仿宋_GB2312" w:hAnsi="仿宋" w:eastAsia="仿宋_GB2312"/>
          <w:sz w:val="32"/>
          <w:szCs w:val="32"/>
        </w:rPr>
        <w:t>（二）限定性净资产或相关资产的限制得到解除时，应当区分以下不同情况，将限定性净资产转为非限定性净资产：</w:t>
      </w:r>
    </w:p>
    <w:p>
      <w:pPr>
        <w:ind w:firstLine="640" w:firstLineChars="200"/>
        <w:rPr>
          <w:rFonts w:ascii="仿宋_GB2312" w:hAnsi="仿宋" w:eastAsia="仿宋_GB2312"/>
          <w:sz w:val="32"/>
          <w:szCs w:val="32"/>
        </w:rPr>
      </w:pPr>
      <w:r>
        <w:rPr>
          <w:rFonts w:hint="eastAsia" w:ascii="仿宋_GB2312" w:hAnsi="仿宋" w:eastAsia="仿宋_GB2312"/>
          <w:sz w:val="32"/>
          <w:szCs w:val="32"/>
        </w:rPr>
        <w:t>1.对于因资产提供者或者国家有关法律、行政法规要求民间非营利组织在收到资产后的特定时期之内使用该项资产而形成的限定性净资产，应当在相应期间之内按照实际使用的相关资产金额转为非限定性净资产。</w:t>
      </w:r>
    </w:p>
    <w:p>
      <w:pPr>
        <w:ind w:firstLine="640" w:firstLineChars="200"/>
        <w:rPr>
          <w:rFonts w:ascii="仿宋_GB2312" w:hAnsi="仿宋" w:eastAsia="仿宋_GB2312"/>
          <w:sz w:val="32"/>
          <w:szCs w:val="32"/>
        </w:rPr>
      </w:pPr>
      <w:r>
        <w:rPr>
          <w:rFonts w:hint="eastAsia" w:ascii="仿宋_GB2312" w:hAnsi="仿宋" w:eastAsia="仿宋_GB2312"/>
          <w:sz w:val="32"/>
          <w:szCs w:val="32"/>
        </w:rPr>
        <w:t>2.对于因资产提供者或者国家有关法律、行政法规要求民间非营利组织在收到资产后的特定日期之后使用该项资产而形成的限定性净资产，其时间限制在该特定日期即得以解除，应当在该特定日期转为非限定性净资产。</w:t>
      </w:r>
    </w:p>
    <w:p>
      <w:pPr>
        <w:ind w:firstLine="640" w:firstLineChars="200"/>
        <w:rPr>
          <w:rFonts w:ascii="仿宋_GB2312" w:hAnsi="仿宋" w:eastAsia="仿宋_GB2312"/>
          <w:sz w:val="32"/>
          <w:szCs w:val="32"/>
        </w:rPr>
      </w:pPr>
      <w:r>
        <w:rPr>
          <w:rFonts w:hint="eastAsia" w:ascii="仿宋_GB2312" w:hAnsi="仿宋" w:eastAsia="仿宋_GB2312"/>
          <w:sz w:val="32"/>
          <w:szCs w:val="32"/>
        </w:rPr>
        <w:t>3.对于因资产提供者或者国家有关法律、行政法规设置用途限制而形成的限定性净资产，其用途限制随着资产用于规定用途而逐步得以解除，应当按照实际用于规定用途的相关资产金额转为非限定性净资产。</w:t>
      </w:r>
    </w:p>
    <w:p>
      <w:pPr>
        <w:ind w:firstLine="640" w:firstLineChars="200"/>
        <w:rPr>
          <w:rFonts w:ascii="仿宋_GB2312" w:hAnsi="仿宋" w:eastAsia="仿宋_GB2312"/>
          <w:sz w:val="32"/>
          <w:szCs w:val="32"/>
        </w:rPr>
      </w:pPr>
      <w:r>
        <w:rPr>
          <w:rFonts w:hint="eastAsia" w:ascii="仿宋_GB2312" w:hAnsi="仿宋" w:eastAsia="仿宋_GB2312"/>
          <w:sz w:val="32"/>
          <w:szCs w:val="32"/>
        </w:rPr>
        <w:t>4.对于资产提供者或者国家有关法律、行政法规撤销对限定性净资产或相关资产所设置限制的，限定性净资产的限制在限制得到实际撤销时得以解除，应当在该时点将相关限定性净资产转为非限定性净资产。</w:t>
      </w:r>
    </w:p>
    <w:p>
      <w:pPr>
        <w:ind w:firstLine="640" w:firstLineChars="200"/>
        <w:rPr>
          <w:rFonts w:ascii="仿宋_GB2312" w:hAnsi="仿宋" w:eastAsia="仿宋_GB2312"/>
          <w:sz w:val="32"/>
          <w:szCs w:val="32"/>
        </w:rPr>
      </w:pPr>
      <w:r>
        <w:rPr>
          <w:rFonts w:hint="eastAsia" w:ascii="仿宋_GB2312" w:hAnsi="仿宋" w:eastAsia="仿宋_GB2312"/>
          <w:sz w:val="32"/>
          <w:szCs w:val="32"/>
        </w:rPr>
        <w:t>（三）因收到固定资产、无形资产形成限定性净资产的，应当区分以下不同情况，确定前款（二）所述实际使用的相关资产金额：</w:t>
      </w:r>
    </w:p>
    <w:p>
      <w:pPr>
        <w:ind w:firstLine="640" w:firstLineChars="200"/>
        <w:rPr>
          <w:rFonts w:ascii="仿宋_GB2312" w:hAnsi="仿宋" w:eastAsia="仿宋_GB2312"/>
          <w:sz w:val="32"/>
          <w:szCs w:val="32"/>
        </w:rPr>
      </w:pPr>
      <w:r>
        <w:rPr>
          <w:rFonts w:hint="eastAsia" w:ascii="仿宋_GB2312" w:hAnsi="仿宋" w:eastAsia="仿宋_GB2312"/>
          <w:sz w:val="32"/>
          <w:szCs w:val="32"/>
        </w:rPr>
        <w:t>1.对固定资产、无形资产设置用途限制的，应当自该资产用于规定用途开始，在资产预计剩余使用年限内，对相关限定性净资产金额平均地按期分摊，转为非限定性净资产。</w:t>
      </w:r>
    </w:p>
    <w:p>
      <w:pPr>
        <w:ind w:firstLine="640" w:firstLineChars="200"/>
        <w:rPr>
          <w:rFonts w:ascii="仿宋_GB2312" w:hAnsi="仿宋" w:eastAsia="仿宋_GB2312"/>
          <w:sz w:val="32"/>
          <w:szCs w:val="32"/>
        </w:rPr>
      </w:pPr>
      <w:r>
        <w:rPr>
          <w:rFonts w:hint="eastAsia" w:ascii="仿宋_GB2312" w:hAnsi="仿宋" w:eastAsia="仿宋_GB2312"/>
          <w:sz w:val="32"/>
          <w:szCs w:val="32"/>
        </w:rPr>
        <w:t>2.要求在收到固定资产、无形资产后的某个特定日期之后将该项资产用于特定用途的，在收到资产与该特定日期之间，不应将相关限定性净资产转为非限定性净资产；在特定日期之后，如果资产尚未用于规定用途，不应将相关限定性净资产转为非限定性净资产；在特定日期之后，自资产用于规定用途开始，应当在资产预计剩余使用年限内，对相关限定性净资产金额平均地按期分摊，转为非限定性净资产。</w:t>
      </w:r>
    </w:p>
    <w:p>
      <w:pPr>
        <w:ind w:firstLine="640" w:firstLineChars="200"/>
        <w:rPr>
          <w:rFonts w:ascii="Times New Roman" w:hAnsi="Times New Roman" w:eastAsia="黑体" w:cs="Times New Roman"/>
          <w:sz w:val="24"/>
          <w:szCs w:val="24"/>
          <w:u w:color="0070C0"/>
        </w:rPr>
      </w:pPr>
      <w:r>
        <w:rPr>
          <w:rFonts w:hint="eastAsia" w:ascii="黑体" w:hAnsi="黑体" w:eastAsia="黑体"/>
          <w:sz w:val="32"/>
          <w:szCs w:val="32"/>
        </w:rPr>
        <w:t>六、关于以前年度净资产调整</w:t>
      </w:r>
    </w:p>
    <w:p>
      <w:pPr>
        <w:ind w:firstLine="640" w:firstLineChars="200"/>
        <w:rPr>
          <w:rFonts w:ascii="仿宋_GB2312" w:hAnsi="仿宋" w:eastAsia="仿宋_GB2312"/>
          <w:sz w:val="32"/>
          <w:szCs w:val="32"/>
        </w:rPr>
      </w:pPr>
      <w:r>
        <w:rPr>
          <w:rFonts w:hint="eastAsia" w:ascii="仿宋_GB2312" w:hAnsi="仿宋" w:eastAsia="仿宋_GB2312"/>
          <w:sz w:val="32"/>
          <w:szCs w:val="32"/>
        </w:rPr>
        <w:t>（一）民间非营利组织应当增设“3201 以前年度净资产调整”科目，核算本年度发生的调整以前年度净资产的事项，包括本年度发生的重要前期差错更正等涉及调整以前年度净资产的事项。</w:t>
      </w:r>
    </w:p>
    <w:p>
      <w:pPr>
        <w:ind w:firstLine="640" w:firstLineChars="200"/>
        <w:rPr>
          <w:rFonts w:ascii="仿宋_GB2312" w:hAnsi="仿宋" w:eastAsia="仿宋_GB2312"/>
          <w:sz w:val="32"/>
          <w:szCs w:val="32"/>
        </w:rPr>
      </w:pPr>
      <w:r>
        <w:rPr>
          <w:rFonts w:hint="eastAsia" w:ascii="仿宋_GB2312" w:hAnsi="仿宋" w:eastAsia="仿宋_GB2312"/>
          <w:sz w:val="32"/>
          <w:szCs w:val="32"/>
        </w:rPr>
        <w:t>（二）本科目应当设置“非限定性净资产”“限定性净资产”明细科目，分别核算调整非限定性净资产、限定性净资产的金额。</w:t>
      </w:r>
    </w:p>
    <w:p>
      <w:pPr>
        <w:ind w:firstLine="640" w:firstLineChars="200"/>
        <w:rPr>
          <w:rFonts w:ascii="仿宋_GB2312" w:hAnsi="仿宋" w:eastAsia="仿宋_GB2312"/>
          <w:sz w:val="32"/>
          <w:szCs w:val="32"/>
        </w:rPr>
      </w:pPr>
      <w:r>
        <w:rPr>
          <w:rFonts w:hint="eastAsia" w:ascii="仿宋_GB2312" w:hAnsi="仿宋" w:eastAsia="仿宋_GB2312"/>
          <w:sz w:val="32"/>
          <w:szCs w:val="32"/>
        </w:rPr>
        <w:t>（三）调整增加以前年度收入时，借记有关科目，贷记本科目；调整减少以前年度收入时，作相反会计分录。</w:t>
      </w:r>
    </w:p>
    <w:p>
      <w:pPr>
        <w:ind w:firstLine="640" w:firstLineChars="200"/>
        <w:rPr>
          <w:rFonts w:ascii="仿宋_GB2312" w:hAnsi="仿宋" w:eastAsia="仿宋_GB2312"/>
          <w:sz w:val="32"/>
          <w:szCs w:val="32"/>
        </w:rPr>
      </w:pPr>
      <w:r>
        <w:rPr>
          <w:rFonts w:hint="eastAsia" w:ascii="仿宋_GB2312" w:hAnsi="仿宋" w:eastAsia="仿宋_GB2312"/>
          <w:sz w:val="32"/>
          <w:szCs w:val="32"/>
        </w:rPr>
        <w:t>调整增加以前年度费用时，借记本科目，贷记有关科目；调整减少以前年度费用时，作相反会计分录。</w:t>
      </w:r>
    </w:p>
    <w:p>
      <w:pPr>
        <w:ind w:firstLine="640" w:firstLineChars="200"/>
        <w:rPr>
          <w:rFonts w:ascii="仿宋_GB2312" w:hAnsi="仿宋" w:eastAsia="仿宋_GB2312"/>
          <w:sz w:val="32"/>
          <w:szCs w:val="32"/>
        </w:rPr>
      </w:pPr>
      <w:r>
        <w:rPr>
          <w:rFonts w:hint="eastAsia" w:ascii="仿宋_GB2312" w:hAnsi="仿宋" w:eastAsia="仿宋_GB2312"/>
          <w:sz w:val="32"/>
          <w:szCs w:val="32"/>
        </w:rPr>
        <w:t>经上述调整后，应将本科目的余额转入净资产，分别借记或贷记“非限定性净资产”“限定性净资产”科目，贷记或借记本科目相关明细科目。</w:t>
      </w:r>
    </w:p>
    <w:p>
      <w:pPr>
        <w:ind w:firstLine="640" w:firstLineChars="200"/>
        <w:rPr>
          <w:rFonts w:ascii="仿宋_GB2312" w:hAnsi="仿宋" w:eastAsia="仿宋_GB2312"/>
          <w:sz w:val="32"/>
          <w:szCs w:val="32"/>
        </w:rPr>
      </w:pPr>
      <w:r>
        <w:rPr>
          <w:rFonts w:hint="eastAsia" w:ascii="仿宋_GB2312" w:hAnsi="仿宋" w:eastAsia="仿宋_GB2312"/>
          <w:sz w:val="32"/>
          <w:szCs w:val="32"/>
        </w:rPr>
        <w:t>（四）民间非营利组织如果发生了因前期差错更正等调整以前年度净资产的事项，应当对资产负债表“年初数”栏中的有关项目金额进行相应调整，并在会计报表附注中说明以前年度净资产调整的情况。</w:t>
      </w:r>
    </w:p>
    <w:p>
      <w:pPr>
        <w:ind w:firstLine="640" w:firstLineChars="200"/>
        <w:rPr>
          <w:rFonts w:ascii="Times New Roman" w:hAnsi="Times New Roman" w:eastAsia="黑体" w:cs="Times New Roman"/>
          <w:sz w:val="24"/>
          <w:szCs w:val="24"/>
          <w:u w:color="0070C0"/>
        </w:rPr>
      </w:pPr>
      <w:r>
        <w:rPr>
          <w:rFonts w:hint="eastAsia" w:ascii="黑体" w:hAnsi="黑体" w:eastAsia="黑体"/>
          <w:sz w:val="32"/>
          <w:szCs w:val="32"/>
        </w:rPr>
        <w:t>七、关于承接政府购买服务取得的收入</w:t>
      </w:r>
    </w:p>
    <w:p>
      <w:pPr>
        <w:ind w:firstLine="640" w:firstLineChars="200"/>
        <w:rPr>
          <w:rFonts w:ascii="仿宋" w:hAnsi="仿宋" w:eastAsia="仿宋"/>
          <w:sz w:val="32"/>
          <w:szCs w:val="32"/>
        </w:rPr>
      </w:pPr>
      <w:r>
        <w:rPr>
          <w:rFonts w:hint="eastAsia" w:ascii="仿宋_GB2312" w:hAnsi="仿宋" w:eastAsia="仿宋_GB2312"/>
          <w:sz w:val="32"/>
          <w:szCs w:val="32"/>
        </w:rPr>
        <w:t>民间非营利组织对于从政府取得的收入，应当区分交换交易所形成的收入和非交换交易所形成的收入。承接政府购买服务属于交换交易，取得的相关收入应记入“提供服务收入”等科目，不记入“政府补助收入”科目。</w:t>
      </w:r>
    </w:p>
    <w:p>
      <w:pPr>
        <w:ind w:firstLine="640" w:firstLineChars="200"/>
        <w:rPr>
          <w:rFonts w:ascii="Times New Roman" w:hAnsi="Times New Roman" w:eastAsia="黑体" w:cs="Times New Roman"/>
          <w:sz w:val="24"/>
          <w:szCs w:val="24"/>
          <w:u w:color="0070C0"/>
        </w:rPr>
      </w:pPr>
      <w:r>
        <w:rPr>
          <w:rFonts w:hint="eastAsia" w:ascii="黑体" w:hAnsi="黑体" w:eastAsia="黑体"/>
          <w:sz w:val="32"/>
          <w:szCs w:val="32"/>
        </w:rPr>
        <w:t>八、关于收入退回</w:t>
      </w:r>
    </w:p>
    <w:p>
      <w:pPr>
        <w:ind w:firstLine="640" w:firstLineChars="200"/>
        <w:rPr>
          <w:rFonts w:ascii="仿宋_GB2312" w:hAnsi="仿宋" w:eastAsia="仿宋_GB2312"/>
          <w:sz w:val="32"/>
          <w:szCs w:val="32"/>
        </w:rPr>
      </w:pPr>
      <w:r>
        <w:rPr>
          <w:rFonts w:hint="eastAsia" w:ascii="仿宋_GB2312" w:hAnsi="仿宋" w:eastAsia="仿宋_GB2312"/>
          <w:sz w:val="32"/>
          <w:szCs w:val="32"/>
        </w:rPr>
        <w:t>（一）一般情况下，退回属于本年度的收入，借记相关收入科目，贷记“现金”“银行存款”等科目；退回属于以前年度的收入，借记“以前年度净资产调整”科目，贷记“现金”“银行存款”等科目。</w:t>
      </w:r>
    </w:p>
    <w:p>
      <w:pPr>
        <w:ind w:firstLine="640" w:firstLineChars="200"/>
        <w:rPr>
          <w:rFonts w:ascii="仿宋_GB2312" w:hAnsi="仿宋" w:eastAsia="仿宋_GB2312"/>
          <w:sz w:val="32"/>
          <w:szCs w:val="32"/>
        </w:rPr>
      </w:pPr>
      <w:r>
        <w:rPr>
          <w:rFonts w:hint="eastAsia" w:ascii="仿宋_GB2312" w:hAnsi="仿宋" w:eastAsia="仿宋_GB2312"/>
          <w:sz w:val="32"/>
          <w:szCs w:val="32"/>
        </w:rPr>
        <w:t>（二）对于接受的附条件捐赠，如果存在需要偿还全部或部分捐赠资产或者相应金额的现时义务时（比如因无法满足捐赠所附条件而必须将部分捐赠款退还给捐赠人时），应当区分情况进行处理：因管理不善造成的收入退回应当记入“管理费用”科目，并非因管理不善造成的收入退回（比如具体捐助对象不再满足捐助条件、执行捐助项目节约资金等）应当按照前款（一）进行会计处理。</w:t>
      </w:r>
    </w:p>
    <w:p>
      <w:pPr>
        <w:ind w:firstLine="640" w:firstLineChars="200"/>
        <w:rPr>
          <w:rFonts w:ascii="Times New Roman" w:hAnsi="Times New Roman" w:eastAsia="黑体" w:cs="Times New Roman"/>
          <w:sz w:val="24"/>
          <w:szCs w:val="24"/>
          <w:u w:color="0070C0"/>
        </w:rPr>
      </w:pPr>
      <w:r>
        <w:rPr>
          <w:rFonts w:hint="eastAsia" w:ascii="黑体" w:hAnsi="黑体" w:eastAsia="黑体"/>
          <w:sz w:val="32"/>
          <w:szCs w:val="32"/>
        </w:rPr>
        <w:t>九、关于存款利息</w:t>
      </w:r>
    </w:p>
    <w:p>
      <w:pPr>
        <w:ind w:firstLine="640" w:firstLineChars="200"/>
        <w:rPr>
          <w:rFonts w:ascii="仿宋_GB2312" w:hAnsi="仿宋" w:eastAsia="仿宋_GB2312"/>
          <w:sz w:val="32"/>
          <w:szCs w:val="32"/>
        </w:rPr>
      </w:pPr>
      <w:r>
        <w:rPr>
          <w:rFonts w:hint="eastAsia" w:ascii="仿宋_GB2312" w:hAnsi="仿宋" w:eastAsia="仿宋_GB2312"/>
          <w:sz w:val="32"/>
          <w:szCs w:val="32"/>
        </w:rPr>
        <w:t>民间非营利组织取得的存款利息，属于在借款费用应予资本化的期间内发生的与购建固定资产专门借款有关的存款利息，应当冲减在建工程成本；除此以外的存款利息应当计入其他收入，不再冲减筹资费用。</w:t>
      </w:r>
    </w:p>
    <w:p>
      <w:pPr>
        <w:ind w:firstLine="640" w:firstLineChars="200"/>
        <w:rPr>
          <w:rFonts w:ascii="黑体" w:hAnsi="黑体" w:eastAsia="黑体"/>
          <w:sz w:val="32"/>
          <w:szCs w:val="32"/>
        </w:rPr>
      </w:pPr>
      <w:r>
        <w:rPr>
          <w:rFonts w:hint="eastAsia" w:ascii="黑体" w:hAnsi="黑体" w:eastAsia="黑体"/>
          <w:sz w:val="32"/>
          <w:szCs w:val="32"/>
        </w:rPr>
        <w:t>十、关于涉税业务</w:t>
      </w:r>
    </w:p>
    <w:p>
      <w:pPr>
        <w:ind w:firstLine="640" w:firstLineChars="200"/>
        <w:rPr>
          <w:rFonts w:ascii="仿宋_GB2312" w:hAnsi="仿宋" w:eastAsia="仿宋_GB2312"/>
          <w:sz w:val="32"/>
          <w:szCs w:val="32"/>
        </w:rPr>
      </w:pPr>
      <w:r>
        <w:rPr>
          <w:rFonts w:hint="eastAsia" w:ascii="仿宋_GB2312" w:hAnsi="仿宋" w:eastAsia="仿宋_GB2312"/>
          <w:sz w:val="32"/>
          <w:szCs w:val="32"/>
        </w:rPr>
        <w:t>（一）民间非营利组织应当增设“5501 税金及附加”一级科目，核算其业务活动发生的消费税、城市维护建设税、资源税、教育费附加、房产税、城镇土地使用税、车船税、印花税等相关税费。发生相关纳税义务时，借记本科目，贷记“应交税金”等科目。期末，将本科目本期发生额转入非限定性净资产，借记“非限定性净资产”科目，贷记本科目。</w:t>
      </w:r>
    </w:p>
    <w:p>
      <w:pPr>
        <w:ind w:firstLine="640" w:firstLineChars="200"/>
        <w:rPr>
          <w:rFonts w:ascii="仿宋_GB2312" w:hAnsi="仿宋" w:eastAsia="仿宋_GB2312"/>
          <w:sz w:val="32"/>
          <w:szCs w:val="32"/>
        </w:rPr>
      </w:pPr>
      <w:r>
        <w:rPr>
          <w:rFonts w:hint="eastAsia" w:ascii="仿宋_GB2312" w:hAnsi="仿宋" w:eastAsia="仿宋_GB2312"/>
          <w:sz w:val="32"/>
          <w:szCs w:val="32"/>
        </w:rPr>
        <w:t>（二）民间非营利组织应当增设“5601 所得税费用”一级科目，核算有企业所得税缴纳义务的民间非营利组织按规定缴纳企业所得税所形成的费用。发生所得税缴纳义务时，借记本科目，贷记“应交税金”等科目。期末，将本科目本期发生额转入非限定性净资产，借记“非限定性净资产”科目，贷记本科目。</w:t>
      </w:r>
    </w:p>
    <w:p>
      <w:pPr>
        <w:ind w:firstLine="640" w:firstLineChars="200"/>
        <w:rPr>
          <w:rFonts w:ascii="仿宋_GB2312" w:hAnsi="仿宋" w:eastAsia="仿宋_GB2312"/>
          <w:sz w:val="32"/>
          <w:szCs w:val="32"/>
        </w:rPr>
      </w:pPr>
      <w:r>
        <w:rPr>
          <w:rFonts w:hint="eastAsia" w:ascii="仿宋_GB2312" w:hAnsi="仿宋" w:eastAsia="仿宋_GB2312"/>
          <w:sz w:val="32"/>
          <w:szCs w:val="32"/>
        </w:rPr>
        <w:t>（三）民间非营利组织涉及的增值税业务，应当参照《增值税会计处理规定》（财会〔2016〕22号），在“应交税金”科目下设置相关明细科目，并进行账务处理。</w:t>
      </w:r>
    </w:p>
    <w:p>
      <w:pPr>
        <w:ind w:firstLine="640" w:firstLineChars="200"/>
        <w:rPr>
          <w:rFonts w:ascii="仿宋_GB2312" w:hAnsi="仿宋" w:eastAsia="仿宋_GB2312"/>
          <w:sz w:val="32"/>
          <w:szCs w:val="32"/>
        </w:rPr>
      </w:pPr>
      <w:r>
        <w:rPr>
          <w:rFonts w:hint="eastAsia" w:ascii="仿宋_GB2312" w:hAnsi="仿宋" w:eastAsia="仿宋_GB2312"/>
          <w:sz w:val="32"/>
          <w:szCs w:val="32"/>
        </w:rPr>
        <w:t>（四）民间非营利组织应当在业务活动表费用部分“业务活动成本”项目与“管理费用”项目之间增加“税金及附加”项目。本项目应当根据“税金及附加”科目的本期发生额分析填列。</w:t>
      </w:r>
    </w:p>
    <w:p>
      <w:pPr>
        <w:ind w:firstLine="640" w:firstLineChars="200"/>
        <w:rPr>
          <w:rFonts w:ascii="仿宋_GB2312" w:hAnsi="仿宋" w:eastAsia="仿宋_GB2312"/>
          <w:sz w:val="32"/>
          <w:szCs w:val="32"/>
        </w:rPr>
      </w:pPr>
      <w:r>
        <w:rPr>
          <w:rFonts w:hint="eastAsia" w:ascii="仿宋_GB2312" w:hAnsi="仿宋" w:eastAsia="仿宋_GB2312"/>
          <w:sz w:val="32"/>
          <w:szCs w:val="32"/>
        </w:rPr>
        <w:t>（五）民间非营利组织应当在业务活动表费用部分“其他费用”项目与“费用合计”项目之间增加“所得税费用”项目。本项目应当根据“所得税费用”科目的本期发生额分析填列。</w:t>
      </w:r>
    </w:p>
    <w:p>
      <w:pPr>
        <w:ind w:firstLine="640" w:firstLineChars="200"/>
        <w:rPr>
          <w:rFonts w:ascii="Times New Roman" w:hAnsi="Times New Roman" w:eastAsia="黑体" w:cs="Times New Roman"/>
          <w:sz w:val="24"/>
          <w:szCs w:val="24"/>
          <w:u w:color="0070C0"/>
        </w:rPr>
      </w:pPr>
      <w:r>
        <w:rPr>
          <w:rFonts w:hint="eastAsia" w:ascii="黑体" w:hAnsi="黑体" w:eastAsia="黑体"/>
          <w:sz w:val="32"/>
          <w:szCs w:val="32"/>
        </w:rPr>
        <w:t>十一、关于资产减值损失</w:t>
      </w:r>
    </w:p>
    <w:p>
      <w:pPr>
        <w:ind w:firstLine="640" w:firstLineChars="200"/>
        <w:rPr>
          <w:rFonts w:ascii="仿宋_GB2312" w:hAnsi="仿宋" w:eastAsia="仿宋_GB2312"/>
          <w:sz w:val="32"/>
          <w:szCs w:val="32"/>
        </w:rPr>
      </w:pPr>
      <w:r>
        <w:rPr>
          <w:rFonts w:hint="eastAsia" w:ascii="仿宋_GB2312" w:hAnsi="仿宋" w:eastAsia="仿宋_GB2312"/>
          <w:sz w:val="32"/>
          <w:szCs w:val="32"/>
        </w:rPr>
        <w:t>（一）民间非营利组织应当增设“5701 资产减值损失”一级科目，核算民间非营利组织各项资产减值准备所形成的损失，不再通过“管理费用”科目核算。</w:t>
      </w:r>
    </w:p>
    <w:p>
      <w:pPr>
        <w:ind w:firstLine="640" w:firstLineChars="200"/>
        <w:rPr>
          <w:rFonts w:ascii="仿宋_GB2312" w:hAnsi="仿宋" w:eastAsia="仿宋_GB2312"/>
          <w:sz w:val="32"/>
          <w:szCs w:val="32"/>
        </w:rPr>
      </w:pPr>
      <w:r>
        <w:rPr>
          <w:rFonts w:hint="eastAsia" w:ascii="仿宋_GB2312" w:hAnsi="仿宋" w:eastAsia="仿宋_GB2312"/>
          <w:sz w:val="32"/>
          <w:szCs w:val="32"/>
        </w:rPr>
        <w:t>（二）民间非营利组织对于因提取短期投资、应收款项、存货、长期投资、固定资产、无形资产等资产减值准备而确认的资产减值损失，借记“资产减值损失”科目，贷记相关资产减值准备科目。冲减或转回资产减值准备，借记相关资产减值准备科目，贷记“资产减值损失”科目。</w:t>
      </w:r>
    </w:p>
    <w:p>
      <w:pPr>
        <w:ind w:firstLine="640" w:firstLineChars="200"/>
        <w:rPr>
          <w:rFonts w:ascii="仿宋_GB2312" w:hAnsi="仿宋" w:eastAsia="仿宋_GB2312"/>
          <w:sz w:val="32"/>
          <w:szCs w:val="32"/>
        </w:rPr>
      </w:pPr>
      <w:r>
        <w:rPr>
          <w:rFonts w:hint="eastAsia" w:ascii="仿宋_GB2312" w:hAnsi="仿宋" w:eastAsia="仿宋_GB2312"/>
          <w:sz w:val="32"/>
          <w:szCs w:val="32"/>
        </w:rPr>
        <w:t>（三）期末，将“资产减值损失”科目本期发生额转入非限定性净资产，借记“非限定性净资产”科目，贷记“资产减值损失”科目。</w:t>
      </w:r>
    </w:p>
    <w:p>
      <w:pPr>
        <w:ind w:firstLine="640" w:firstLineChars="200"/>
        <w:rPr>
          <w:rFonts w:ascii="仿宋_GB2312" w:hAnsi="仿宋" w:eastAsia="仿宋_GB2312"/>
          <w:sz w:val="32"/>
          <w:szCs w:val="32"/>
        </w:rPr>
      </w:pPr>
      <w:r>
        <w:rPr>
          <w:rFonts w:hint="eastAsia" w:ascii="仿宋_GB2312" w:hAnsi="仿宋" w:eastAsia="仿宋_GB2312"/>
          <w:sz w:val="32"/>
          <w:szCs w:val="32"/>
        </w:rPr>
        <w:t>（四）民间非营利组织应当在业务活动表费用部分“筹资费用”项目与“其他费用”项目之间增加“资产减值损失”项目。本项目应当根据“资产减值损失”科目的本期发生额分析填列。</w:t>
      </w:r>
    </w:p>
    <w:p>
      <w:pPr>
        <w:ind w:firstLine="640" w:firstLineChars="200"/>
        <w:rPr>
          <w:rFonts w:ascii="Times New Roman" w:hAnsi="Times New Roman" w:eastAsia="宋体" w:cs="Times New Roman"/>
          <w:sz w:val="24"/>
          <w:szCs w:val="24"/>
          <w:u w:color="0070C0"/>
        </w:rPr>
      </w:pPr>
      <w:r>
        <w:rPr>
          <w:rFonts w:hint="eastAsia" w:ascii="黑体" w:hAnsi="黑体" w:eastAsia="黑体"/>
          <w:sz w:val="32"/>
          <w:szCs w:val="32"/>
        </w:rPr>
        <w:t>十二、关于出资设立其他民间非营利组织</w:t>
      </w:r>
    </w:p>
    <w:p>
      <w:pPr>
        <w:ind w:firstLine="640" w:firstLineChars="200"/>
        <w:rPr>
          <w:rFonts w:ascii="仿宋_GB2312" w:hAnsi="仿宋" w:eastAsia="仿宋_GB2312"/>
          <w:sz w:val="32"/>
          <w:szCs w:val="32"/>
        </w:rPr>
      </w:pPr>
      <w:r>
        <w:rPr>
          <w:rFonts w:hint="eastAsia" w:ascii="仿宋_GB2312" w:hAnsi="仿宋" w:eastAsia="仿宋_GB2312"/>
          <w:sz w:val="32"/>
          <w:szCs w:val="32"/>
        </w:rPr>
        <w:t>民间非营利组织出资设立其他民间非营利组织，所设立民间非营利组织与实现本组织的业务活动目标相关的，相关出资记入“业务活动成本”科目；所设立民间非营利组织与实现本组织的业务活动目标不相关的，相关出资记入“其他费用”科目。</w:t>
      </w:r>
    </w:p>
    <w:p>
      <w:pPr>
        <w:ind w:firstLine="640" w:firstLineChars="200"/>
        <w:rPr>
          <w:rFonts w:ascii="仿宋_GB2312" w:hAnsi="仿宋" w:eastAsia="仿宋_GB2312"/>
          <w:sz w:val="32"/>
          <w:szCs w:val="32"/>
        </w:rPr>
      </w:pPr>
      <w:r>
        <w:rPr>
          <w:rFonts w:hint="eastAsia" w:ascii="仿宋_GB2312" w:hAnsi="仿宋" w:eastAsia="仿宋_GB2312"/>
          <w:sz w:val="32"/>
          <w:szCs w:val="32"/>
        </w:rPr>
        <w:t>本解释施行前出资设立其他民间非营利组织并将出资金额记入“长期股权投资”科目的，应当自本解释首次施行日，将原“长期股权投资”科目余额中对其他民间非营利组织的出资金额转入“非限定性净资产”科目，借记“非限定性净资产”科目，贷记“长期股权投资”科目。</w:t>
      </w:r>
    </w:p>
    <w:p>
      <w:pPr>
        <w:ind w:firstLine="640" w:firstLineChars="200"/>
        <w:rPr>
          <w:rFonts w:ascii="Times New Roman" w:hAnsi="Times New Roman" w:eastAsia="黑体" w:cs="Times New Roman"/>
          <w:sz w:val="24"/>
          <w:szCs w:val="24"/>
          <w:u w:color="0070C0"/>
        </w:rPr>
      </w:pPr>
      <w:r>
        <w:rPr>
          <w:rFonts w:hint="eastAsia" w:ascii="黑体" w:hAnsi="黑体" w:eastAsia="黑体"/>
          <w:sz w:val="32"/>
          <w:szCs w:val="32"/>
        </w:rPr>
        <w:t>十三、关于现金流量表</w:t>
      </w:r>
    </w:p>
    <w:p>
      <w:pPr>
        <w:ind w:firstLine="640" w:firstLineChars="200"/>
        <w:rPr>
          <w:rFonts w:ascii="仿宋_GB2312" w:hAnsi="仿宋" w:eastAsia="仿宋_GB2312"/>
          <w:sz w:val="32"/>
          <w:szCs w:val="32"/>
        </w:rPr>
      </w:pPr>
      <w:r>
        <w:rPr>
          <w:rFonts w:hint="eastAsia" w:ascii="仿宋_GB2312" w:hAnsi="仿宋" w:eastAsia="仿宋_GB2312"/>
          <w:sz w:val="32"/>
          <w:szCs w:val="32"/>
        </w:rPr>
        <w:t>民间非营利组织应当将现金流量表“金额”栏修改为“本年金额”栏，同时在“本年金额”栏右侧增加“上年金额”栏。</w:t>
      </w:r>
    </w:p>
    <w:p>
      <w:pPr>
        <w:ind w:firstLine="640" w:firstLineChars="200"/>
        <w:rPr>
          <w:rFonts w:ascii="黑体" w:hAnsi="黑体" w:eastAsia="黑体"/>
          <w:sz w:val="32"/>
          <w:szCs w:val="32"/>
        </w:rPr>
      </w:pPr>
      <w:r>
        <w:rPr>
          <w:rFonts w:hint="eastAsia" w:ascii="黑体" w:hAnsi="黑体" w:eastAsia="黑体" w:cs="Times New Roman"/>
          <w:sz w:val="32"/>
          <w:szCs w:val="32"/>
        </w:rPr>
        <w:t>十四、关于会计报表附注</w:t>
      </w:r>
    </w:p>
    <w:p>
      <w:pPr>
        <w:ind w:firstLine="640" w:firstLineChars="200"/>
        <w:rPr>
          <w:rFonts w:ascii="仿宋_GB2312" w:hAnsi="仿宋" w:eastAsia="仿宋_GB2312"/>
          <w:sz w:val="32"/>
          <w:szCs w:val="32"/>
        </w:rPr>
      </w:pPr>
      <w:r>
        <w:rPr>
          <w:rFonts w:hint="eastAsia" w:ascii="仿宋_GB2312" w:hAnsi="仿宋" w:eastAsia="仿宋_GB2312"/>
          <w:sz w:val="32"/>
          <w:szCs w:val="32"/>
        </w:rPr>
        <w:t>（一）民间非营利组织应当在会计报表附注中增加披露与投资有关的下列信息：</w:t>
      </w:r>
    </w:p>
    <w:p>
      <w:pPr>
        <w:ind w:firstLine="640" w:firstLineChars="200"/>
        <w:rPr>
          <w:rFonts w:ascii="仿宋_GB2312" w:hAnsi="仿宋" w:eastAsia="仿宋_GB2312"/>
          <w:sz w:val="32"/>
          <w:szCs w:val="32"/>
        </w:rPr>
      </w:pPr>
      <w:r>
        <w:rPr>
          <w:rFonts w:hint="eastAsia" w:ascii="仿宋_GB2312" w:hAnsi="仿宋" w:eastAsia="仿宋_GB2312"/>
          <w:sz w:val="32"/>
          <w:szCs w:val="32"/>
        </w:rPr>
        <w:t>1.各项短期投资、长期债权投资和长期股权投资的增减变动及期初、期末账面余额。</w:t>
      </w:r>
    </w:p>
    <w:p>
      <w:pPr>
        <w:ind w:firstLine="640" w:firstLineChars="200"/>
        <w:rPr>
          <w:rFonts w:ascii="仿宋_GB2312" w:hAnsi="仿宋" w:eastAsia="仿宋_GB2312"/>
          <w:sz w:val="32"/>
          <w:szCs w:val="32"/>
        </w:rPr>
      </w:pPr>
      <w:r>
        <w:rPr>
          <w:rFonts w:hint="eastAsia" w:ascii="仿宋_GB2312" w:hAnsi="仿宋" w:eastAsia="仿宋_GB2312"/>
          <w:sz w:val="32"/>
          <w:szCs w:val="32"/>
        </w:rPr>
        <w:t>2.长期股权投资的投资对象及核算方法。</w:t>
      </w:r>
    </w:p>
    <w:p>
      <w:pPr>
        <w:ind w:firstLine="640" w:firstLineChars="200"/>
        <w:rPr>
          <w:rFonts w:ascii="仿宋_GB2312" w:hAnsi="仿宋" w:eastAsia="仿宋_GB2312"/>
          <w:sz w:val="32"/>
          <w:szCs w:val="32"/>
        </w:rPr>
      </w:pPr>
      <w:r>
        <w:rPr>
          <w:rFonts w:hint="eastAsia" w:ascii="仿宋_GB2312" w:hAnsi="仿宋" w:eastAsia="仿宋_GB2312"/>
          <w:sz w:val="32"/>
          <w:szCs w:val="32"/>
        </w:rPr>
        <w:t>3.当期发生的投资净损益，其中重大的投资净损益项目应当单独披露。</w:t>
      </w:r>
    </w:p>
    <w:p>
      <w:pPr>
        <w:snapToGrid w:val="0"/>
        <w:spacing w:line="588" w:lineRule="atLeast"/>
        <w:ind w:firstLine="640" w:firstLineChars="200"/>
        <w:rPr>
          <w:rFonts w:ascii="仿宋_GB2312" w:hAnsi="仿宋" w:eastAsia="仿宋_GB2312"/>
          <w:sz w:val="32"/>
          <w:szCs w:val="32"/>
        </w:rPr>
      </w:pPr>
      <w:r>
        <w:rPr>
          <w:rFonts w:hint="eastAsia" w:ascii="仿宋_GB2312" w:hAnsi="仿宋" w:eastAsia="仿宋_GB2312"/>
          <w:sz w:val="32"/>
          <w:szCs w:val="32"/>
        </w:rPr>
        <w:t>（二）民间非营利组织应当在会计报表附注中增加披露关联方关系及其交易的相关信息。</w:t>
      </w:r>
    </w:p>
    <w:p>
      <w:pPr>
        <w:snapToGrid w:val="0"/>
        <w:spacing w:line="588" w:lineRule="atLeast"/>
        <w:ind w:firstLine="640" w:firstLineChars="200"/>
        <w:rPr>
          <w:rFonts w:ascii="仿宋_GB2312" w:hAnsi="仿宋" w:eastAsia="仿宋_GB2312"/>
          <w:sz w:val="32"/>
          <w:szCs w:val="32"/>
        </w:rPr>
      </w:pPr>
      <w:r>
        <w:rPr>
          <w:rFonts w:hint="eastAsia" w:ascii="仿宋_GB2312" w:hAnsi="仿宋" w:eastAsia="仿宋_GB2312"/>
          <w:sz w:val="32"/>
          <w:szCs w:val="32"/>
        </w:rPr>
        <w:t>1.关联方。一方控制、共同控制另一方或对另一方施加重大影响，以及两方或两方以上同受一方控制、共同控制或重大影响的，构成关联方。下列各方构成民间非营利组织的关联方：</w:t>
      </w:r>
    </w:p>
    <w:p>
      <w:pPr>
        <w:snapToGrid w:val="0"/>
        <w:spacing w:line="588" w:lineRule="atLeast"/>
        <w:ind w:firstLine="640" w:firstLineChars="200"/>
        <w:rPr>
          <w:rFonts w:ascii="仿宋_GB2312" w:hAnsi="仿宋" w:eastAsia="仿宋_GB2312"/>
          <w:sz w:val="32"/>
          <w:szCs w:val="32"/>
        </w:rPr>
      </w:pPr>
      <w:r>
        <w:rPr>
          <w:rFonts w:hint="eastAsia" w:ascii="仿宋_GB2312" w:hAnsi="仿宋" w:eastAsia="仿宋_GB2312"/>
          <w:sz w:val="32"/>
          <w:szCs w:val="32"/>
        </w:rPr>
        <w:t>（1）该民间非营利组织的设立人。</w:t>
      </w:r>
    </w:p>
    <w:p>
      <w:pPr>
        <w:snapToGrid w:val="0"/>
        <w:spacing w:line="588" w:lineRule="atLeast"/>
        <w:ind w:firstLine="640" w:firstLineChars="200"/>
        <w:rPr>
          <w:rFonts w:ascii="仿宋_GB2312" w:hAnsi="仿宋" w:eastAsia="仿宋_GB2312"/>
          <w:sz w:val="32"/>
          <w:szCs w:val="32"/>
        </w:rPr>
      </w:pPr>
      <w:r>
        <w:rPr>
          <w:rFonts w:hint="eastAsia" w:ascii="仿宋_GB2312" w:hAnsi="仿宋" w:eastAsia="仿宋_GB2312"/>
          <w:sz w:val="32"/>
          <w:szCs w:val="32"/>
        </w:rPr>
        <w:t>（2）该民间非营利组织控制、共同控制或施加重大影响的企业。</w:t>
      </w:r>
    </w:p>
    <w:p>
      <w:pPr>
        <w:snapToGrid w:val="0"/>
        <w:spacing w:line="588" w:lineRule="atLeast"/>
        <w:ind w:firstLine="640" w:firstLineChars="200"/>
        <w:rPr>
          <w:rFonts w:ascii="仿宋_GB2312" w:hAnsi="仿宋" w:eastAsia="仿宋_GB2312"/>
          <w:sz w:val="32"/>
          <w:szCs w:val="32"/>
        </w:rPr>
      </w:pPr>
      <w:r>
        <w:rPr>
          <w:rFonts w:hint="eastAsia" w:ascii="仿宋_GB2312" w:hAnsi="仿宋" w:eastAsia="仿宋_GB2312"/>
          <w:sz w:val="32"/>
          <w:szCs w:val="32"/>
        </w:rPr>
        <w:t>（3）该民间非营利组织设立的其他民间非营利组织。</w:t>
      </w:r>
    </w:p>
    <w:p>
      <w:pPr>
        <w:snapToGrid w:val="0"/>
        <w:spacing w:line="588" w:lineRule="atLeast"/>
        <w:ind w:firstLine="640" w:firstLineChars="200"/>
        <w:rPr>
          <w:rFonts w:ascii="仿宋_GB2312" w:hAnsi="仿宋" w:eastAsia="仿宋_GB2312"/>
          <w:sz w:val="32"/>
          <w:szCs w:val="32"/>
        </w:rPr>
      </w:pPr>
      <w:r>
        <w:rPr>
          <w:rFonts w:hint="eastAsia" w:ascii="仿宋_GB2312" w:hAnsi="仿宋" w:eastAsia="仿宋_GB2312"/>
          <w:sz w:val="32"/>
          <w:szCs w:val="32"/>
        </w:rPr>
        <w:t>（4）由该民间非营利组织的设立人控制、共同控制或施加重大影响的企业。</w:t>
      </w:r>
    </w:p>
    <w:p>
      <w:pPr>
        <w:snapToGrid w:val="0"/>
        <w:spacing w:line="588" w:lineRule="atLeast"/>
        <w:ind w:firstLine="640" w:firstLineChars="200"/>
        <w:rPr>
          <w:rFonts w:ascii="仿宋_GB2312" w:hAnsi="仿宋" w:eastAsia="仿宋_GB2312"/>
          <w:sz w:val="32"/>
          <w:szCs w:val="32"/>
        </w:rPr>
      </w:pPr>
      <w:r>
        <w:rPr>
          <w:rFonts w:hint="eastAsia" w:ascii="仿宋_GB2312" w:hAnsi="仿宋" w:eastAsia="仿宋_GB2312"/>
          <w:sz w:val="32"/>
          <w:szCs w:val="32"/>
        </w:rPr>
        <w:t>（5）由该民间非营利组织的设立人设立的其他民间非营利组织。</w:t>
      </w:r>
    </w:p>
    <w:p>
      <w:pPr>
        <w:snapToGrid w:val="0"/>
        <w:spacing w:line="588" w:lineRule="atLeast"/>
        <w:ind w:firstLine="640" w:firstLineChars="200"/>
        <w:rPr>
          <w:rFonts w:ascii="仿宋_GB2312" w:hAnsi="仿宋" w:eastAsia="仿宋_GB2312"/>
          <w:sz w:val="32"/>
          <w:szCs w:val="32"/>
        </w:rPr>
      </w:pPr>
      <w:r>
        <w:rPr>
          <w:rFonts w:hint="eastAsia" w:ascii="仿宋_GB2312" w:hAnsi="仿宋" w:eastAsia="仿宋_GB2312"/>
          <w:sz w:val="32"/>
          <w:szCs w:val="32"/>
        </w:rPr>
        <w:t>（6）该民间非营利组织的关键管理人员及与其关系密切的家庭成员。关键管理人员，是指有权力并负责计划、指挥和控制民间非营利组织活动的人员。与关键管理人员关系密切的家庭成员，是指在处理与该组织的交易时可能影响该个人或受该个人影响的家庭成员。关键管理人员一般包括：民间非营利组织负责人、理事、监事、分支（代表）机构负责人等。</w:t>
      </w:r>
    </w:p>
    <w:p>
      <w:pPr>
        <w:snapToGrid w:val="0"/>
        <w:spacing w:line="588" w:lineRule="atLeast"/>
        <w:ind w:firstLine="640" w:firstLineChars="200"/>
        <w:rPr>
          <w:rFonts w:ascii="仿宋_GB2312" w:hAnsi="仿宋" w:eastAsia="仿宋_GB2312"/>
          <w:sz w:val="32"/>
          <w:szCs w:val="32"/>
        </w:rPr>
      </w:pPr>
      <w:r>
        <w:rPr>
          <w:rFonts w:hint="eastAsia" w:ascii="仿宋_GB2312" w:hAnsi="仿宋" w:eastAsia="仿宋_GB2312"/>
          <w:sz w:val="32"/>
          <w:szCs w:val="32"/>
        </w:rPr>
        <w:t>（7）该民间非营利组织的关键管理人员或与其关系密切的家庭成员控制、共同控制或施加重大影响的企业。</w:t>
      </w:r>
    </w:p>
    <w:p>
      <w:pPr>
        <w:snapToGrid w:val="0"/>
        <w:spacing w:line="588" w:lineRule="atLeast"/>
        <w:ind w:firstLine="640" w:firstLineChars="200"/>
        <w:rPr>
          <w:rFonts w:ascii="仿宋_GB2312" w:hAnsi="仿宋" w:eastAsia="仿宋_GB2312"/>
          <w:sz w:val="32"/>
          <w:szCs w:val="32"/>
        </w:rPr>
      </w:pPr>
      <w:r>
        <w:rPr>
          <w:rFonts w:hint="eastAsia" w:ascii="仿宋_GB2312" w:hAnsi="仿宋" w:eastAsia="仿宋_GB2312"/>
          <w:sz w:val="32"/>
          <w:szCs w:val="32"/>
        </w:rPr>
        <w:t>（8）该民间非营利组织的关键管理人员或与其关系密切的家庭成员设立的其他民间非营利组织。</w:t>
      </w:r>
    </w:p>
    <w:p>
      <w:pPr>
        <w:snapToGrid w:val="0"/>
        <w:spacing w:line="588" w:lineRule="atLeast"/>
        <w:ind w:firstLine="640" w:firstLineChars="200"/>
        <w:rPr>
          <w:rFonts w:ascii="仿宋_GB2312" w:hAnsi="仿宋" w:eastAsia="仿宋_GB2312"/>
          <w:sz w:val="32"/>
          <w:szCs w:val="32"/>
        </w:rPr>
      </w:pPr>
      <w:r>
        <w:rPr>
          <w:rFonts w:hint="eastAsia" w:ascii="仿宋_GB2312" w:hAnsi="仿宋" w:eastAsia="仿宋_GB2312"/>
          <w:sz w:val="32"/>
          <w:szCs w:val="32"/>
        </w:rPr>
        <w:t>此外，以面向社会开展慈善活动为宗旨的民间非营利组织（包括社会团体、基金会、社会服务机构等），与其主要捐赠人也构成关联方。</w:t>
      </w:r>
    </w:p>
    <w:p>
      <w:pPr>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2.关联方交易。关联方交易，是指关联方之间转移资源、劳务或义务的行为，而不论是否收取价款。关联方交易的类型通常包括下列各项：</w:t>
      </w:r>
    </w:p>
    <w:p>
      <w:pPr>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（1）购买或销售商品及其他资产。</w:t>
      </w:r>
    </w:p>
    <w:p>
      <w:pPr>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（2）提供或接受劳务。</w:t>
      </w:r>
    </w:p>
    <w:p>
      <w:pPr>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（3）担保。</w:t>
      </w:r>
    </w:p>
    <w:p>
      <w:pPr>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（4）提供或接受捐赠。</w:t>
      </w:r>
    </w:p>
    <w:p>
      <w:pPr>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（5）提供资金（贷款或股权投资等）。</w:t>
      </w:r>
    </w:p>
    <w:p>
      <w:pPr>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（6）租赁。</w:t>
      </w:r>
    </w:p>
    <w:p>
      <w:pPr>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（7）代理。</w:t>
      </w:r>
    </w:p>
    <w:p>
      <w:pPr>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（8）许可协议。</w:t>
      </w:r>
    </w:p>
    <w:p>
      <w:pPr>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（9）代表民间非营利组织或由民间非营利组织代表另一方进行债务结算。</w:t>
      </w:r>
    </w:p>
    <w:p>
      <w:pPr>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（10）关键管理人员薪酬。</w:t>
      </w:r>
    </w:p>
    <w:p>
      <w:pPr>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3.关联方披露。民间非营利组织与关联方发生关联方交易的，应当在附注中披露该关联方关系的性质、交易类型及交易要素。交易要素至少应当包括：</w:t>
      </w:r>
    </w:p>
    <w:p>
      <w:pPr>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（1）交易的金额。</w:t>
      </w:r>
    </w:p>
    <w:p>
      <w:pPr>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（2）未结算项目的金额、条款和条件，以及有关提供或取得担保的信息。</w:t>
      </w:r>
    </w:p>
    <w:p>
      <w:pPr>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（3）未结算应收项目的坏账准备金额。</w:t>
      </w:r>
    </w:p>
    <w:p>
      <w:pPr>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（4）定价政策。</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十五、生效日期和新旧衔接</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本解释自20XX年1月1日起施行。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15709"/>
    </w:sdtPr>
    <w:sdtContent>
      <w:p>
        <w:pPr>
          <w:pStyle w:val="7"/>
          <w:jc w:val="center"/>
        </w:pPr>
        <w:r>
          <w:fldChar w:fldCharType="begin"/>
        </w:r>
        <w:r>
          <w:instrText xml:space="preserve"> PAGE   \* MERGEFORMAT </w:instrText>
        </w:r>
        <w:r>
          <w:fldChar w:fldCharType="separate"/>
        </w:r>
        <w:r>
          <w:rPr>
            <w:lang w:val="zh-CN"/>
          </w:rPr>
          <w:t>11</w:t>
        </w:r>
        <w:r>
          <w:rPr>
            <w:lang w:val="zh-CN"/>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172A27"/>
    <w:rsid w:val="00003A76"/>
    <w:rsid w:val="00004BF1"/>
    <w:rsid w:val="00006BEF"/>
    <w:rsid w:val="000100C7"/>
    <w:rsid w:val="0001377B"/>
    <w:rsid w:val="00015EA9"/>
    <w:rsid w:val="0002135A"/>
    <w:rsid w:val="000224B1"/>
    <w:rsid w:val="0002517D"/>
    <w:rsid w:val="00025642"/>
    <w:rsid w:val="000260E0"/>
    <w:rsid w:val="00032FD4"/>
    <w:rsid w:val="000331EC"/>
    <w:rsid w:val="00033C54"/>
    <w:rsid w:val="000349FD"/>
    <w:rsid w:val="00035F5C"/>
    <w:rsid w:val="00044039"/>
    <w:rsid w:val="00051DE5"/>
    <w:rsid w:val="000641AF"/>
    <w:rsid w:val="0006518F"/>
    <w:rsid w:val="00067075"/>
    <w:rsid w:val="00074579"/>
    <w:rsid w:val="00074600"/>
    <w:rsid w:val="00076E51"/>
    <w:rsid w:val="000807B9"/>
    <w:rsid w:val="00081F4D"/>
    <w:rsid w:val="00082C48"/>
    <w:rsid w:val="000834A1"/>
    <w:rsid w:val="0008395D"/>
    <w:rsid w:val="00084382"/>
    <w:rsid w:val="00084852"/>
    <w:rsid w:val="0009000A"/>
    <w:rsid w:val="00093686"/>
    <w:rsid w:val="000A03D1"/>
    <w:rsid w:val="000A30F6"/>
    <w:rsid w:val="000A4A35"/>
    <w:rsid w:val="000A50A4"/>
    <w:rsid w:val="000A56DC"/>
    <w:rsid w:val="000B1192"/>
    <w:rsid w:val="000B1A91"/>
    <w:rsid w:val="000B25C8"/>
    <w:rsid w:val="000B2622"/>
    <w:rsid w:val="000B3BDD"/>
    <w:rsid w:val="000C0261"/>
    <w:rsid w:val="000C1FA9"/>
    <w:rsid w:val="000C6D75"/>
    <w:rsid w:val="000D2CCB"/>
    <w:rsid w:val="000D51B8"/>
    <w:rsid w:val="000D7482"/>
    <w:rsid w:val="000D7C48"/>
    <w:rsid w:val="000E321C"/>
    <w:rsid w:val="000E326C"/>
    <w:rsid w:val="000E41ED"/>
    <w:rsid w:val="000E5889"/>
    <w:rsid w:val="000E5CC9"/>
    <w:rsid w:val="000F2EFF"/>
    <w:rsid w:val="000F5CD6"/>
    <w:rsid w:val="000F6B25"/>
    <w:rsid w:val="00105712"/>
    <w:rsid w:val="001120DD"/>
    <w:rsid w:val="00112CB9"/>
    <w:rsid w:val="00127ECE"/>
    <w:rsid w:val="00130AB0"/>
    <w:rsid w:val="00130C50"/>
    <w:rsid w:val="00133AB6"/>
    <w:rsid w:val="00133AF2"/>
    <w:rsid w:val="0013502F"/>
    <w:rsid w:val="00137224"/>
    <w:rsid w:val="00142E9C"/>
    <w:rsid w:val="001447DE"/>
    <w:rsid w:val="001463A6"/>
    <w:rsid w:val="00146A3C"/>
    <w:rsid w:val="001624AB"/>
    <w:rsid w:val="00163F3B"/>
    <w:rsid w:val="0016562D"/>
    <w:rsid w:val="001673A8"/>
    <w:rsid w:val="00172A27"/>
    <w:rsid w:val="001738BF"/>
    <w:rsid w:val="00173E50"/>
    <w:rsid w:val="00174CBD"/>
    <w:rsid w:val="001751B3"/>
    <w:rsid w:val="001804E8"/>
    <w:rsid w:val="00180ABA"/>
    <w:rsid w:val="0018168D"/>
    <w:rsid w:val="00182EDA"/>
    <w:rsid w:val="001832AE"/>
    <w:rsid w:val="00183943"/>
    <w:rsid w:val="00184725"/>
    <w:rsid w:val="00193DB3"/>
    <w:rsid w:val="0019577C"/>
    <w:rsid w:val="00195A1A"/>
    <w:rsid w:val="00196BA3"/>
    <w:rsid w:val="0019733C"/>
    <w:rsid w:val="001A1E94"/>
    <w:rsid w:val="001A3A00"/>
    <w:rsid w:val="001A6363"/>
    <w:rsid w:val="001A7D2A"/>
    <w:rsid w:val="001B2FD6"/>
    <w:rsid w:val="001B540D"/>
    <w:rsid w:val="001B71F0"/>
    <w:rsid w:val="001C50F3"/>
    <w:rsid w:val="001C7595"/>
    <w:rsid w:val="001D6C91"/>
    <w:rsid w:val="001D718C"/>
    <w:rsid w:val="001E053B"/>
    <w:rsid w:val="001E4B40"/>
    <w:rsid w:val="001E5D1D"/>
    <w:rsid w:val="001E6E13"/>
    <w:rsid w:val="001F60D2"/>
    <w:rsid w:val="00200B71"/>
    <w:rsid w:val="002011CB"/>
    <w:rsid w:val="002046EB"/>
    <w:rsid w:val="002058FF"/>
    <w:rsid w:val="00206CFF"/>
    <w:rsid w:val="00207154"/>
    <w:rsid w:val="002123F9"/>
    <w:rsid w:val="00214D1A"/>
    <w:rsid w:val="002202F0"/>
    <w:rsid w:val="00221819"/>
    <w:rsid w:val="00221FAE"/>
    <w:rsid w:val="00223381"/>
    <w:rsid w:val="00225BB2"/>
    <w:rsid w:val="00227845"/>
    <w:rsid w:val="00227863"/>
    <w:rsid w:val="00230A77"/>
    <w:rsid w:val="00233852"/>
    <w:rsid w:val="0023561C"/>
    <w:rsid w:val="002370A8"/>
    <w:rsid w:val="002403A3"/>
    <w:rsid w:val="002420CC"/>
    <w:rsid w:val="00242B2B"/>
    <w:rsid w:val="00243488"/>
    <w:rsid w:val="00246280"/>
    <w:rsid w:val="0025047A"/>
    <w:rsid w:val="002511F9"/>
    <w:rsid w:val="00251A02"/>
    <w:rsid w:val="00252AF3"/>
    <w:rsid w:val="00253221"/>
    <w:rsid w:val="00253780"/>
    <w:rsid w:val="00253F86"/>
    <w:rsid w:val="002567A3"/>
    <w:rsid w:val="00257675"/>
    <w:rsid w:val="002606A0"/>
    <w:rsid w:val="00270640"/>
    <w:rsid w:val="0027234C"/>
    <w:rsid w:val="0027657B"/>
    <w:rsid w:val="0028055A"/>
    <w:rsid w:val="00282C7E"/>
    <w:rsid w:val="00283334"/>
    <w:rsid w:val="00285874"/>
    <w:rsid w:val="002904D7"/>
    <w:rsid w:val="00291510"/>
    <w:rsid w:val="002917C7"/>
    <w:rsid w:val="00291CF7"/>
    <w:rsid w:val="00291DD5"/>
    <w:rsid w:val="00292847"/>
    <w:rsid w:val="00295DD5"/>
    <w:rsid w:val="00296FD0"/>
    <w:rsid w:val="002A04D2"/>
    <w:rsid w:val="002A64CE"/>
    <w:rsid w:val="002B0942"/>
    <w:rsid w:val="002B2F21"/>
    <w:rsid w:val="002B4E0B"/>
    <w:rsid w:val="002B51D7"/>
    <w:rsid w:val="002C1FE1"/>
    <w:rsid w:val="002C3626"/>
    <w:rsid w:val="002C3F30"/>
    <w:rsid w:val="002C42FA"/>
    <w:rsid w:val="002C534E"/>
    <w:rsid w:val="002C6901"/>
    <w:rsid w:val="002C70A9"/>
    <w:rsid w:val="002C7B63"/>
    <w:rsid w:val="002D0B86"/>
    <w:rsid w:val="002D1CD3"/>
    <w:rsid w:val="002D1DDE"/>
    <w:rsid w:val="002D328C"/>
    <w:rsid w:val="002D410D"/>
    <w:rsid w:val="002D4AD6"/>
    <w:rsid w:val="002E1110"/>
    <w:rsid w:val="002F16DB"/>
    <w:rsid w:val="002F2AE4"/>
    <w:rsid w:val="002F2B26"/>
    <w:rsid w:val="002F6898"/>
    <w:rsid w:val="00302F72"/>
    <w:rsid w:val="0030752E"/>
    <w:rsid w:val="00311C19"/>
    <w:rsid w:val="003137EF"/>
    <w:rsid w:val="00323657"/>
    <w:rsid w:val="00335120"/>
    <w:rsid w:val="00336DA5"/>
    <w:rsid w:val="00337AA4"/>
    <w:rsid w:val="003401FC"/>
    <w:rsid w:val="00345865"/>
    <w:rsid w:val="00347152"/>
    <w:rsid w:val="0034737E"/>
    <w:rsid w:val="003512E0"/>
    <w:rsid w:val="00352C60"/>
    <w:rsid w:val="00352DE0"/>
    <w:rsid w:val="00363F83"/>
    <w:rsid w:val="00364093"/>
    <w:rsid w:val="00366295"/>
    <w:rsid w:val="00372B95"/>
    <w:rsid w:val="00373D53"/>
    <w:rsid w:val="0037591A"/>
    <w:rsid w:val="00377886"/>
    <w:rsid w:val="00377A77"/>
    <w:rsid w:val="00381048"/>
    <w:rsid w:val="00383A96"/>
    <w:rsid w:val="00386691"/>
    <w:rsid w:val="0039008B"/>
    <w:rsid w:val="00390E8B"/>
    <w:rsid w:val="00391BEF"/>
    <w:rsid w:val="003950A6"/>
    <w:rsid w:val="00395592"/>
    <w:rsid w:val="0039561C"/>
    <w:rsid w:val="003A014B"/>
    <w:rsid w:val="003A1CF9"/>
    <w:rsid w:val="003B0CB6"/>
    <w:rsid w:val="003B0DE6"/>
    <w:rsid w:val="003B610F"/>
    <w:rsid w:val="003C24B5"/>
    <w:rsid w:val="003D0F56"/>
    <w:rsid w:val="003D1479"/>
    <w:rsid w:val="003D16D4"/>
    <w:rsid w:val="003D1A6D"/>
    <w:rsid w:val="003D394E"/>
    <w:rsid w:val="003E6F9D"/>
    <w:rsid w:val="003F1040"/>
    <w:rsid w:val="00400E14"/>
    <w:rsid w:val="004012DC"/>
    <w:rsid w:val="00402E5D"/>
    <w:rsid w:val="00403671"/>
    <w:rsid w:val="00405487"/>
    <w:rsid w:val="00411DE7"/>
    <w:rsid w:val="00413B02"/>
    <w:rsid w:val="00416113"/>
    <w:rsid w:val="00420147"/>
    <w:rsid w:val="00422EB6"/>
    <w:rsid w:val="00423B6F"/>
    <w:rsid w:val="00423E1E"/>
    <w:rsid w:val="0042544D"/>
    <w:rsid w:val="0042596D"/>
    <w:rsid w:val="004321E4"/>
    <w:rsid w:val="00433093"/>
    <w:rsid w:val="004348E7"/>
    <w:rsid w:val="00436BD0"/>
    <w:rsid w:val="004374C8"/>
    <w:rsid w:val="004415E2"/>
    <w:rsid w:val="00446086"/>
    <w:rsid w:val="0044698B"/>
    <w:rsid w:val="00451092"/>
    <w:rsid w:val="004517F1"/>
    <w:rsid w:val="0045724E"/>
    <w:rsid w:val="0045748E"/>
    <w:rsid w:val="00462B60"/>
    <w:rsid w:val="004641EF"/>
    <w:rsid w:val="004670CA"/>
    <w:rsid w:val="00471CDB"/>
    <w:rsid w:val="00472602"/>
    <w:rsid w:val="0047335F"/>
    <w:rsid w:val="00476165"/>
    <w:rsid w:val="00493166"/>
    <w:rsid w:val="004935C3"/>
    <w:rsid w:val="004935DD"/>
    <w:rsid w:val="004937EF"/>
    <w:rsid w:val="00494E6F"/>
    <w:rsid w:val="00495D48"/>
    <w:rsid w:val="00495DE3"/>
    <w:rsid w:val="00496BC0"/>
    <w:rsid w:val="00497B97"/>
    <w:rsid w:val="004A15F3"/>
    <w:rsid w:val="004A63CC"/>
    <w:rsid w:val="004B0B78"/>
    <w:rsid w:val="004B27BA"/>
    <w:rsid w:val="004B2CFD"/>
    <w:rsid w:val="004B2D6E"/>
    <w:rsid w:val="004B444A"/>
    <w:rsid w:val="004B6EE0"/>
    <w:rsid w:val="004C14B0"/>
    <w:rsid w:val="004C2D63"/>
    <w:rsid w:val="004C601F"/>
    <w:rsid w:val="004C687C"/>
    <w:rsid w:val="004D2D1C"/>
    <w:rsid w:val="004D44C2"/>
    <w:rsid w:val="004D7615"/>
    <w:rsid w:val="004D7654"/>
    <w:rsid w:val="004E1A9D"/>
    <w:rsid w:val="004E2E8A"/>
    <w:rsid w:val="004E2FF7"/>
    <w:rsid w:val="004E5EB8"/>
    <w:rsid w:val="004F489C"/>
    <w:rsid w:val="004F5DB1"/>
    <w:rsid w:val="00502E0D"/>
    <w:rsid w:val="00503726"/>
    <w:rsid w:val="00503987"/>
    <w:rsid w:val="00505DE2"/>
    <w:rsid w:val="00506937"/>
    <w:rsid w:val="005112F1"/>
    <w:rsid w:val="00512C29"/>
    <w:rsid w:val="00513316"/>
    <w:rsid w:val="00513C6E"/>
    <w:rsid w:val="0051492C"/>
    <w:rsid w:val="00523EEF"/>
    <w:rsid w:val="00534CB5"/>
    <w:rsid w:val="00536DE7"/>
    <w:rsid w:val="00544CE2"/>
    <w:rsid w:val="00545612"/>
    <w:rsid w:val="00545A2D"/>
    <w:rsid w:val="00547645"/>
    <w:rsid w:val="00551A82"/>
    <w:rsid w:val="00555ECA"/>
    <w:rsid w:val="005712BD"/>
    <w:rsid w:val="00571DC8"/>
    <w:rsid w:val="005730D6"/>
    <w:rsid w:val="005815FB"/>
    <w:rsid w:val="00587F07"/>
    <w:rsid w:val="00594292"/>
    <w:rsid w:val="0059779B"/>
    <w:rsid w:val="005A0858"/>
    <w:rsid w:val="005A17B2"/>
    <w:rsid w:val="005A25F0"/>
    <w:rsid w:val="005A6CDF"/>
    <w:rsid w:val="005A7B13"/>
    <w:rsid w:val="005B5924"/>
    <w:rsid w:val="005B59F2"/>
    <w:rsid w:val="005B63DF"/>
    <w:rsid w:val="005C2FAB"/>
    <w:rsid w:val="005C4755"/>
    <w:rsid w:val="005C573E"/>
    <w:rsid w:val="005D00FF"/>
    <w:rsid w:val="005D6BA8"/>
    <w:rsid w:val="005D7242"/>
    <w:rsid w:val="005E0566"/>
    <w:rsid w:val="005E304E"/>
    <w:rsid w:val="005E4A40"/>
    <w:rsid w:val="005E5353"/>
    <w:rsid w:val="005F164F"/>
    <w:rsid w:val="005F2103"/>
    <w:rsid w:val="005F2B26"/>
    <w:rsid w:val="005F41BA"/>
    <w:rsid w:val="005F719F"/>
    <w:rsid w:val="00601AED"/>
    <w:rsid w:val="006040F8"/>
    <w:rsid w:val="00615228"/>
    <w:rsid w:val="00621DEB"/>
    <w:rsid w:val="006240FA"/>
    <w:rsid w:val="0062410C"/>
    <w:rsid w:val="00627938"/>
    <w:rsid w:val="00630A5F"/>
    <w:rsid w:val="006330FC"/>
    <w:rsid w:val="006353A0"/>
    <w:rsid w:val="00637EF8"/>
    <w:rsid w:val="00650B22"/>
    <w:rsid w:val="00655EFB"/>
    <w:rsid w:val="00656477"/>
    <w:rsid w:val="00664425"/>
    <w:rsid w:val="006656FF"/>
    <w:rsid w:val="0067146C"/>
    <w:rsid w:val="0067767F"/>
    <w:rsid w:val="006808EA"/>
    <w:rsid w:val="006818EC"/>
    <w:rsid w:val="006848E3"/>
    <w:rsid w:val="006905A5"/>
    <w:rsid w:val="006921B0"/>
    <w:rsid w:val="006922B3"/>
    <w:rsid w:val="006923F0"/>
    <w:rsid w:val="00692C72"/>
    <w:rsid w:val="0069509F"/>
    <w:rsid w:val="006A06A4"/>
    <w:rsid w:val="006A1FBA"/>
    <w:rsid w:val="006A2B45"/>
    <w:rsid w:val="006A3098"/>
    <w:rsid w:val="006A4AE8"/>
    <w:rsid w:val="006A5945"/>
    <w:rsid w:val="006A74AA"/>
    <w:rsid w:val="006B2622"/>
    <w:rsid w:val="006B2C0E"/>
    <w:rsid w:val="006B4CAB"/>
    <w:rsid w:val="006B4E32"/>
    <w:rsid w:val="006B4ECD"/>
    <w:rsid w:val="006B6912"/>
    <w:rsid w:val="006D1B7A"/>
    <w:rsid w:val="006D1C0E"/>
    <w:rsid w:val="006D2DF9"/>
    <w:rsid w:val="006D3FEB"/>
    <w:rsid w:val="006D7A40"/>
    <w:rsid w:val="006E35DB"/>
    <w:rsid w:val="006E483B"/>
    <w:rsid w:val="006F0495"/>
    <w:rsid w:val="006F1E9B"/>
    <w:rsid w:val="006F64D6"/>
    <w:rsid w:val="006F76AC"/>
    <w:rsid w:val="006F77F3"/>
    <w:rsid w:val="00704720"/>
    <w:rsid w:val="007061CA"/>
    <w:rsid w:val="00707285"/>
    <w:rsid w:val="00710926"/>
    <w:rsid w:val="00712F64"/>
    <w:rsid w:val="007151A6"/>
    <w:rsid w:val="0072121B"/>
    <w:rsid w:val="0072540D"/>
    <w:rsid w:val="007306D0"/>
    <w:rsid w:val="007309F7"/>
    <w:rsid w:val="00732381"/>
    <w:rsid w:val="00735805"/>
    <w:rsid w:val="00736A96"/>
    <w:rsid w:val="00740A5D"/>
    <w:rsid w:val="007412C0"/>
    <w:rsid w:val="007439BE"/>
    <w:rsid w:val="00744998"/>
    <w:rsid w:val="007458A9"/>
    <w:rsid w:val="0075219B"/>
    <w:rsid w:val="007532F5"/>
    <w:rsid w:val="007546D4"/>
    <w:rsid w:val="007573D0"/>
    <w:rsid w:val="007608A9"/>
    <w:rsid w:val="00767469"/>
    <w:rsid w:val="0077120D"/>
    <w:rsid w:val="00773833"/>
    <w:rsid w:val="00774783"/>
    <w:rsid w:val="00774AF6"/>
    <w:rsid w:val="007764A2"/>
    <w:rsid w:val="0077740B"/>
    <w:rsid w:val="00784F7E"/>
    <w:rsid w:val="00785092"/>
    <w:rsid w:val="007852CB"/>
    <w:rsid w:val="0078533A"/>
    <w:rsid w:val="00786147"/>
    <w:rsid w:val="0079127C"/>
    <w:rsid w:val="0079258E"/>
    <w:rsid w:val="0079385C"/>
    <w:rsid w:val="00793950"/>
    <w:rsid w:val="00795401"/>
    <w:rsid w:val="007A2D0B"/>
    <w:rsid w:val="007A4109"/>
    <w:rsid w:val="007A6347"/>
    <w:rsid w:val="007B2F68"/>
    <w:rsid w:val="007B3679"/>
    <w:rsid w:val="007B3E4D"/>
    <w:rsid w:val="007B4C56"/>
    <w:rsid w:val="007B52B1"/>
    <w:rsid w:val="007B5443"/>
    <w:rsid w:val="007B5921"/>
    <w:rsid w:val="007C14BE"/>
    <w:rsid w:val="007C16AA"/>
    <w:rsid w:val="007C225A"/>
    <w:rsid w:val="007C2C48"/>
    <w:rsid w:val="007D16D0"/>
    <w:rsid w:val="007D4A0B"/>
    <w:rsid w:val="007D7C52"/>
    <w:rsid w:val="007E07CB"/>
    <w:rsid w:val="007E4697"/>
    <w:rsid w:val="007E5CD7"/>
    <w:rsid w:val="008005FB"/>
    <w:rsid w:val="00801E8E"/>
    <w:rsid w:val="008038C8"/>
    <w:rsid w:val="008049C9"/>
    <w:rsid w:val="00807ED7"/>
    <w:rsid w:val="0081184E"/>
    <w:rsid w:val="00813A0E"/>
    <w:rsid w:val="0081402E"/>
    <w:rsid w:val="0081492A"/>
    <w:rsid w:val="0082167E"/>
    <w:rsid w:val="00826A5B"/>
    <w:rsid w:val="00830441"/>
    <w:rsid w:val="00830702"/>
    <w:rsid w:val="008403DB"/>
    <w:rsid w:val="00841048"/>
    <w:rsid w:val="008439F5"/>
    <w:rsid w:val="00844EC3"/>
    <w:rsid w:val="008451B1"/>
    <w:rsid w:val="00851983"/>
    <w:rsid w:val="00851B9E"/>
    <w:rsid w:val="00851C2F"/>
    <w:rsid w:val="00854540"/>
    <w:rsid w:val="0085582D"/>
    <w:rsid w:val="008603A7"/>
    <w:rsid w:val="00861EBF"/>
    <w:rsid w:val="008627F4"/>
    <w:rsid w:val="0086559C"/>
    <w:rsid w:val="00866051"/>
    <w:rsid w:val="0087090B"/>
    <w:rsid w:val="008774BF"/>
    <w:rsid w:val="00877C7B"/>
    <w:rsid w:val="0089205A"/>
    <w:rsid w:val="00894F22"/>
    <w:rsid w:val="008A4907"/>
    <w:rsid w:val="008A6265"/>
    <w:rsid w:val="008A6A17"/>
    <w:rsid w:val="008B035D"/>
    <w:rsid w:val="008B0947"/>
    <w:rsid w:val="008C33B4"/>
    <w:rsid w:val="008D0B32"/>
    <w:rsid w:val="008D1B21"/>
    <w:rsid w:val="008D2F9B"/>
    <w:rsid w:val="008D6769"/>
    <w:rsid w:val="008D69BE"/>
    <w:rsid w:val="008E0A01"/>
    <w:rsid w:val="008E1D05"/>
    <w:rsid w:val="008E4397"/>
    <w:rsid w:val="008E689E"/>
    <w:rsid w:val="008F008F"/>
    <w:rsid w:val="008F2E00"/>
    <w:rsid w:val="008F5542"/>
    <w:rsid w:val="00904DF8"/>
    <w:rsid w:val="0090500C"/>
    <w:rsid w:val="00907651"/>
    <w:rsid w:val="00907BCE"/>
    <w:rsid w:val="00911753"/>
    <w:rsid w:val="00911F43"/>
    <w:rsid w:val="00913971"/>
    <w:rsid w:val="00916D8A"/>
    <w:rsid w:val="00917D9F"/>
    <w:rsid w:val="00920C03"/>
    <w:rsid w:val="009255FE"/>
    <w:rsid w:val="00925E66"/>
    <w:rsid w:val="00936234"/>
    <w:rsid w:val="00936DB1"/>
    <w:rsid w:val="00946B1A"/>
    <w:rsid w:val="00950781"/>
    <w:rsid w:val="00953465"/>
    <w:rsid w:val="009538C3"/>
    <w:rsid w:val="009549A4"/>
    <w:rsid w:val="009557C6"/>
    <w:rsid w:val="00957835"/>
    <w:rsid w:val="0096159B"/>
    <w:rsid w:val="009615CF"/>
    <w:rsid w:val="00964621"/>
    <w:rsid w:val="00965CAF"/>
    <w:rsid w:val="00967CEF"/>
    <w:rsid w:val="0097159D"/>
    <w:rsid w:val="00973661"/>
    <w:rsid w:val="00975824"/>
    <w:rsid w:val="00980059"/>
    <w:rsid w:val="009825D2"/>
    <w:rsid w:val="0098417F"/>
    <w:rsid w:val="00984DEA"/>
    <w:rsid w:val="0098687F"/>
    <w:rsid w:val="009906C8"/>
    <w:rsid w:val="009927FF"/>
    <w:rsid w:val="00997D51"/>
    <w:rsid w:val="009A0B69"/>
    <w:rsid w:val="009A4BCD"/>
    <w:rsid w:val="009A54E7"/>
    <w:rsid w:val="009A7B56"/>
    <w:rsid w:val="009A7ECD"/>
    <w:rsid w:val="009A7FEA"/>
    <w:rsid w:val="009B0C28"/>
    <w:rsid w:val="009B244D"/>
    <w:rsid w:val="009B2C67"/>
    <w:rsid w:val="009B2E30"/>
    <w:rsid w:val="009B32AB"/>
    <w:rsid w:val="009B5CA5"/>
    <w:rsid w:val="009B64EA"/>
    <w:rsid w:val="009B7E28"/>
    <w:rsid w:val="009C12D2"/>
    <w:rsid w:val="009C75FB"/>
    <w:rsid w:val="009D18AC"/>
    <w:rsid w:val="009D3145"/>
    <w:rsid w:val="009D7153"/>
    <w:rsid w:val="009E3C94"/>
    <w:rsid w:val="009E4617"/>
    <w:rsid w:val="009F0347"/>
    <w:rsid w:val="009F0A51"/>
    <w:rsid w:val="009F0D1D"/>
    <w:rsid w:val="009F17B8"/>
    <w:rsid w:val="009F457D"/>
    <w:rsid w:val="00A0425B"/>
    <w:rsid w:val="00A04D8B"/>
    <w:rsid w:val="00A13D50"/>
    <w:rsid w:val="00A14783"/>
    <w:rsid w:val="00A14B11"/>
    <w:rsid w:val="00A14EFA"/>
    <w:rsid w:val="00A178EA"/>
    <w:rsid w:val="00A17F86"/>
    <w:rsid w:val="00A20F93"/>
    <w:rsid w:val="00A21823"/>
    <w:rsid w:val="00A21DAA"/>
    <w:rsid w:val="00A233D3"/>
    <w:rsid w:val="00A270ED"/>
    <w:rsid w:val="00A27829"/>
    <w:rsid w:val="00A31439"/>
    <w:rsid w:val="00A323F4"/>
    <w:rsid w:val="00A32B3C"/>
    <w:rsid w:val="00A338B3"/>
    <w:rsid w:val="00A343AE"/>
    <w:rsid w:val="00A35235"/>
    <w:rsid w:val="00A3568F"/>
    <w:rsid w:val="00A36E66"/>
    <w:rsid w:val="00A40387"/>
    <w:rsid w:val="00A4161C"/>
    <w:rsid w:val="00A43F74"/>
    <w:rsid w:val="00A441C7"/>
    <w:rsid w:val="00A46B84"/>
    <w:rsid w:val="00A51857"/>
    <w:rsid w:val="00A526F8"/>
    <w:rsid w:val="00A536B1"/>
    <w:rsid w:val="00A53BF7"/>
    <w:rsid w:val="00A5669E"/>
    <w:rsid w:val="00A61848"/>
    <w:rsid w:val="00A63259"/>
    <w:rsid w:val="00A668A8"/>
    <w:rsid w:val="00A71901"/>
    <w:rsid w:val="00A71D1B"/>
    <w:rsid w:val="00A73390"/>
    <w:rsid w:val="00A80D9E"/>
    <w:rsid w:val="00A82B77"/>
    <w:rsid w:val="00A84D36"/>
    <w:rsid w:val="00A858FD"/>
    <w:rsid w:val="00A85D3F"/>
    <w:rsid w:val="00A8721E"/>
    <w:rsid w:val="00A875BE"/>
    <w:rsid w:val="00A92208"/>
    <w:rsid w:val="00A93A40"/>
    <w:rsid w:val="00A95B2C"/>
    <w:rsid w:val="00AA1B89"/>
    <w:rsid w:val="00AA3388"/>
    <w:rsid w:val="00AA5174"/>
    <w:rsid w:val="00AA708A"/>
    <w:rsid w:val="00AB109D"/>
    <w:rsid w:val="00AB5B05"/>
    <w:rsid w:val="00AD1FE0"/>
    <w:rsid w:val="00AD28F2"/>
    <w:rsid w:val="00AD2CE1"/>
    <w:rsid w:val="00AD627D"/>
    <w:rsid w:val="00AE2FEE"/>
    <w:rsid w:val="00AE37EA"/>
    <w:rsid w:val="00AE5D7D"/>
    <w:rsid w:val="00AF6F91"/>
    <w:rsid w:val="00B15BB4"/>
    <w:rsid w:val="00B15C3D"/>
    <w:rsid w:val="00B3254A"/>
    <w:rsid w:val="00B3307D"/>
    <w:rsid w:val="00B3469C"/>
    <w:rsid w:val="00B40047"/>
    <w:rsid w:val="00B422ED"/>
    <w:rsid w:val="00B4541C"/>
    <w:rsid w:val="00B5378A"/>
    <w:rsid w:val="00B53C7D"/>
    <w:rsid w:val="00B54503"/>
    <w:rsid w:val="00B56F17"/>
    <w:rsid w:val="00B57DB3"/>
    <w:rsid w:val="00B61BA1"/>
    <w:rsid w:val="00B63F02"/>
    <w:rsid w:val="00B64367"/>
    <w:rsid w:val="00B64B20"/>
    <w:rsid w:val="00B64EE6"/>
    <w:rsid w:val="00B706A9"/>
    <w:rsid w:val="00B72CF6"/>
    <w:rsid w:val="00B762CD"/>
    <w:rsid w:val="00B822FE"/>
    <w:rsid w:val="00B864DC"/>
    <w:rsid w:val="00B878BC"/>
    <w:rsid w:val="00B9059C"/>
    <w:rsid w:val="00B9446E"/>
    <w:rsid w:val="00B96033"/>
    <w:rsid w:val="00B9712B"/>
    <w:rsid w:val="00B97FD5"/>
    <w:rsid w:val="00BA3DA8"/>
    <w:rsid w:val="00BA4A0C"/>
    <w:rsid w:val="00BA518C"/>
    <w:rsid w:val="00BA73F2"/>
    <w:rsid w:val="00BB1463"/>
    <w:rsid w:val="00BB400E"/>
    <w:rsid w:val="00BB41F0"/>
    <w:rsid w:val="00BB523F"/>
    <w:rsid w:val="00BB56E0"/>
    <w:rsid w:val="00BB5FFC"/>
    <w:rsid w:val="00BC1CC8"/>
    <w:rsid w:val="00BC4CB9"/>
    <w:rsid w:val="00BC4F1E"/>
    <w:rsid w:val="00BC6566"/>
    <w:rsid w:val="00BD22B3"/>
    <w:rsid w:val="00BE3346"/>
    <w:rsid w:val="00BE3ADF"/>
    <w:rsid w:val="00BE3C25"/>
    <w:rsid w:val="00BE4D62"/>
    <w:rsid w:val="00BE6C5A"/>
    <w:rsid w:val="00BF7368"/>
    <w:rsid w:val="00C024B0"/>
    <w:rsid w:val="00C02A66"/>
    <w:rsid w:val="00C06AAC"/>
    <w:rsid w:val="00C06CB0"/>
    <w:rsid w:val="00C13BE6"/>
    <w:rsid w:val="00C1446C"/>
    <w:rsid w:val="00C16AD6"/>
    <w:rsid w:val="00C17AB8"/>
    <w:rsid w:val="00C27337"/>
    <w:rsid w:val="00C2740D"/>
    <w:rsid w:val="00C3233C"/>
    <w:rsid w:val="00C32C78"/>
    <w:rsid w:val="00C358E5"/>
    <w:rsid w:val="00C36075"/>
    <w:rsid w:val="00C54724"/>
    <w:rsid w:val="00C54990"/>
    <w:rsid w:val="00C56AD6"/>
    <w:rsid w:val="00C56B39"/>
    <w:rsid w:val="00C56E81"/>
    <w:rsid w:val="00C57D5D"/>
    <w:rsid w:val="00C60568"/>
    <w:rsid w:val="00C61C56"/>
    <w:rsid w:val="00C64332"/>
    <w:rsid w:val="00C70531"/>
    <w:rsid w:val="00C72BE7"/>
    <w:rsid w:val="00C7318C"/>
    <w:rsid w:val="00C83B71"/>
    <w:rsid w:val="00C865BD"/>
    <w:rsid w:val="00C86664"/>
    <w:rsid w:val="00C86D93"/>
    <w:rsid w:val="00C95543"/>
    <w:rsid w:val="00C958EC"/>
    <w:rsid w:val="00C95AF2"/>
    <w:rsid w:val="00C9734B"/>
    <w:rsid w:val="00CA022C"/>
    <w:rsid w:val="00CA0B02"/>
    <w:rsid w:val="00CA47E8"/>
    <w:rsid w:val="00CB20DF"/>
    <w:rsid w:val="00CB345C"/>
    <w:rsid w:val="00CB3746"/>
    <w:rsid w:val="00CB6F53"/>
    <w:rsid w:val="00CC09B2"/>
    <w:rsid w:val="00CC57E6"/>
    <w:rsid w:val="00CC68B1"/>
    <w:rsid w:val="00CD0612"/>
    <w:rsid w:val="00CD2FB3"/>
    <w:rsid w:val="00CD420B"/>
    <w:rsid w:val="00CD46BB"/>
    <w:rsid w:val="00CD5030"/>
    <w:rsid w:val="00CD6EB7"/>
    <w:rsid w:val="00CE1DA9"/>
    <w:rsid w:val="00CE4A7C"/>
    <w:rsid w:val="00CF3142"/>
    <w:rsid w:val="00CF458A"/>
    <w:rsid w:val="00CF4D68"/>
    <w:rsid w:val="00D02BAD"/>
    <w:rsid w:val="00D05014"/>
    <w:rsid w:val="00D051B3"/>
    <w:rsid w:val="00D06060"/>
    <w:rsid w:val="00D10D4C"/>
    <w:rsid w:val="00D1224A"/>
    <w:rsid w:val="00D12F47"/>
    <w:rsid w:val="00D14700"/>
    <w:rsid w:val="00D17793"/>
    <w:rsid w:val="00D17AD4"/>
    <w:rsid w:val="00D17AFB"/>
    <w:rsid w:val="00D20096"/>
    <w:rsid w:val="00D20703"/>
    <w:rsid w:val="00D227E8"/>
    <w:rsid w:val="00D23533"/>
    <w:rsid w:val="00D27D8F"/>
    <w:rsid w:val="00D41A8C"/>
    <w:rsid w:val="00D439F0"/>
    <w:rsid w:val="00D472EC"/>
    <w:rsid w:val="00D50BF5"/>
    <w:rsid w:val="00D546DB"/>
    <w:rsid w:val="00D60C82"/>
    <w:rsid w:val="00D6227C"/>
    <w:rsid w:val="00D65465"/>
    <w:rsid w:val="00D66275"/>
    <w:rsid w:val="00D815B4"/>
    <w:rsid w:val="00D81713"/>
    <w:rsid w:val="00D821F4"/>
    <w:rsid w:val="00D85137"/>
    <w:rsid w:val="00D879DF"/>
    <w:rsid w:val="00D916AF"/>
    <w:rsid w:val="00D933CB"/>
    <w:rsid w:val="00D94F67"/>
    <w:rsid w:val="00D95602"/>
    <w:rsid w:val="00D9686F"/>
    <w:rsid w:val="00D96CBA"/>
    <w:rsid w:val="00D97CD7"/>
    <w:rsid w:val="00DA254E"/>
    <w:rsid w:val="00DA26A7"/>
    <w:rsid w:val="00DA3B2E"/>
    <w:rsid w:val="00DA43D0"/>
    <w:rsid w:val="00DA55CD"/>
    <w:rsid w:val="00DA56A1"/>
    <w:rsid w:val="00DA59FB"/>
    <w:rsid w:val="00DA5BDE"/>
    <w:rsid w:val="00DA5D29"/>
    <w:rsid w:val="00DB1270"/>
    <w:rsid w:val="00DB12D1"/>
    <w:rsid w:val="00DB3C32"/>
    <w:rsid w:val="00DB401C"/>
    <w:rsid w:val="00DB4FEA"/>
    <w:rsid w:val="00DB6C58"/>
    <w:rsid w:val="00DB77DE"/>
    <w:rsid w:val="00DC0419"/>
    <w:rsid w:val="00DC29B7"/>
    <w:rsid w:val="00DC31D6"/>
    <w:rsid w:val="00DC3C8F"/>
    <w:rsid w:val="00DC3E47"/>
    <w:rsid w:val="00DC7475"/>
    <w:rsid w:val="00DD0C34"/>
    <w:rsid w:val="00DD30D4"/>
    <w:rsid w:val="00DD332E"/>
    <w:rsid w:val="00DD4917"/>
    <w:rsid w:val="00DE45A0"/>
    <w:rsid w:val="00DF384A"/>
    <w:rsid w:val="00DF5466"/>
    <w:rsid w:val="00DF5B55"/>
    <w:rsid w:val="00DF6EFE"/>
    <w:rsid w:val="00E009A9"/>
    <w:rsid w:val="00E03EDC"/>
    <w:rsid w:val="00E10A7E"/>
    <w:rsid w:val="00E10E13"/>
    <w:rsid w:val="00E11F03"/>
    <w:rsid w:val="00E12992"/>
    <w:rsid w:val="00E153F0"/>
    <w:rsid w:val="00E16CB1"/>
    <w:rsid w:val="00E20AA4"/>
    <w:rsid w:val="00E21225"/>
    <w:rsid w:val="00E260F2"/>
    <w:rsid w:val="00E27BD8"/>
    <w:rsid w:val="00E31694"/>
    <w:rsid w:val="00E40DB3"/>
    <w:rsid w:val="00E4389B"/>
    <w:rsid w:val="00E44689"/>
    <w:rsid w:val="00E47FA1"/>
    <w:rsid w:val="00E51800"/>
    <w:rsid w:val="00E52623"/>
    <w:rsid w:val="00E5682A"/>
    <w:rsid w:val="00E61C1D"/>
    <w:rsid w:val="00E6424B"/>
    <w:rsid w:val="00E643A5"/>
    <w:rsid w:val="00E6552E"/>
    <w:rsid w:val="00E67801"/>
    <w:rsid w:val="00E77804"/>
    <w:rsid w:val="00E84837"/>
    <w:rsid w:val="00E8663D"/>
    <w:rsid w:val="00E9001C"/>
    <w:rsid w:val="00E96FB7"/>
    <w:rsid w:val="00EA44FB"/>
    <w:rsid w:val="00EA731A"/>
    <w:rsid w:val="00EA76C6"/>
    <w:rsid w:val="00EB03AF"/>
    <w:rsid w:val="00EB137F"/>
    <w:rsid w:val="00EB3E5D"/>
    <w:rsid w:val="00EC18FE"/>
    <w:rsid w:val="00EC3B5F"/>
    <w:rsid w:val="00EC4D60"/>
    <w:rsid w:val="00EC5F69"/>
    <w:rsid w:val="00ED31D2"/>
    <w:rsid w:val="00ED672F"/>
    <w:rsid w:val="00EE1206"/>
    <w:rsid w:val="00EE6112"/>
    <w:rsid w:val="00EE75F0"/>
    <w:rsid w:val="00EF0292"/>
    <w:rsid w:val="00EF120C"/>
    <w:rsid w:val="00EF2589"/>
    <w:rsid w:val="00F011FF"/>
    <w:rsid w:val="00F022CB"/>
    <w:rsid w:val="00F02946"/>
    <w:rsid w:val="00F0608D"/>
    <w:rsid w:val="00F063CF"/>
    <w:rsid w:val="00F06CC5"/>
    <w:rsid w:val="00F10643"/>
    <w:rsid w:val="00F10BAE"/>
    <w:rsid w:val="00F26D8C"/>
    <w:rsid w:val="00F3413B"/>
    <w:rsid w:val="00F342B5"/>
    <w:rsid w:val="00F34378"/>
    <w:rsid w:val="00F3444D"/>
    <w:rsid w:val="00F35863"/>
    <w:rsid w:val="00F3590B"/>
    <w:rsid w:val="00F42979"/>
    <w:rsid w:val="00F46E61"/>
    <w:rsid w:val="00F50B35"/>
    <w:rsid w:val="00F51E26"/>
    <w:rsid w:val="00F629F1"/>
    <w:rsid w:val="00F64209"/>
    <w:rsid w:val="00F70DA8"/>
    <w:rsid w:val="00F71404"/>
    <w:rsid w:val="00F72202"/>
    <w:rsid w:val="00F777CF"/>
    <w:rsid w:val="00F77854"/>
    <w:rsid w:val="00F83A81"/>
    <w:rsid w:val="00F8681B"/>
    <w:rsid w:val="00F871FE"/>
    <w:rsid w:val="00F91D5B"/>
    <w:rsid w:val="00F92806"/>
    <w:rsid w:val="00F94729"/>
    <w:rsid w:val="00F95432"/>
    <w:rsid w:val="00FA015A"/>
    <w:rsid w:val="00FA0844"/>
    <w:rsid w:val="00FB0307"/>
    <w:rsid w:val="00FB0DA9"/>
    <w:rsid w:val="00FB0EEE"/>
    <w:rsid w:val="00FB1FC3"/>
    <w:rsid w:val="00FB2B93"/>
    <w:rsid w:val="00FB318B"/>
    <w:rsid w:val="00FB3DA5"/>
    <w:rsid w:val="00FB4A02"/>
    <w:rsid w:val="00FB4C15"/>
    <w:rsid w:val="00FC45A3"/>
    <w:rsid w:val="00FC6A62"/>
    <w:rsid w:val="00FC70A2"/>
    <w:rsid w:val="00FD15AF"/>
    <w:rsid w:val="00FD2B29"/>
    <w:rsid w:val="00FD4B55"/>
    <w:rsid w:val="00FD4EEC"/>
    <w:rsid w:val="00FD7237"/>
    <w:rsid w:val="00FD7868"/>
    <w:rsid w:val="00FE2A97"/>
    <w:rsid w:val="00FE3AB8"/>
    <w:rsid w:val="00FF14FC"/>
    <w:rsid w:val="00FF2FBA"/>
    <w:rsid w:val="03C84257"/>
    <w:rsid w:val="03DA76CE"/>
    <w:rsid w:val="05FA47ED"/>
    <w:rsid w:val="06651443"/>
    <w:rsid w:val="07D715C2"/>
    <w:rsid w:val="09526736"/>
    <w:rsid w:val="09CF545F"/>
    <w:rsid w:val="0A1F18B4"/>
    <w:rsid w:val="0E6F56F9"/>
    <w:rsid w:val="29FE4F05"/>
    <w:rsid w:val="2B681A13"/>
    <w:rsid w:val="32D5520B"/>
    <w:rsid w:val="342D7882"/>
    <w:rsid w:val="36162E71"/>
    <w:rsid w:val="3F567108"/>
    <w:rsid w:val="42A41895"/>
    <w:rsid w:val="4FEB23D1"/>
    <w:rsid w:val="528100CF"/>
    <w:rsid w:val="53491362"/>
    <w:rsid w:val="5ABC14F5"/>
    <w:rsid w:val="5E8A59C0"/>
    <w:rsid w:val="613867B9"/>
    <w:rsid w:val="627B1E04"/>
    <w:rsid w:val="638C12F1"/>
    <w:rsid w:val="64A31E72"/>
    <w:rsid w:val="650E21C4"/>
    <w:rsid w:val="6BD809EF"/>
    <w:rsid w:val="6C4E3F5F"/>
    <w:rsid w:val="6ECA2EC4"/>
    <w:rsid w:val="700F5216"/>
    <w:rsid w:val="74CA37D9"/>
    <w:rsid w:val="782B0714"/>
    <w:rsid w:val="7A903FCB"/>
    <w:rsid w:val="7D0D677A"/>
    <w:rsid w:val="7F5260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2"/>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next w:val="1"/>
    <w:link w:val="15"/>
    <w:uiPriority w:val="0"/>
    <w:pPr>
      <w:keepNext/>
      <w:keepLines/>
      <w:widowControl w:val="0"/>
      <w:spacing w:before="260" w:line="416" w:lineRule="auto"/>
      <w:jc w:val="both"/>
      <w:outlineLvl w:val="2"/>
    </w:pPr>
    <w:rPr>
      <w:rFonts w:ascii="Calibri" w:hAnsi="Calibri" w:eastAsia="Calibri" w:cs="Calibri"/>
      <w:b/>
      <w:bCs/>
      <w:color w:val="000000"/>
      <w:kern w:val="2"/>
      <w:sz w:val="32"/>
      <w:szCs w:val="32"/>
      <w:u w:color="000000"/>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link w:val="19"/>
    <w:semiHidden/>
    <w:unhideWhenUsed/>
    <w:qFormat/>
    <w:uiPriority w:val="99"/>
    <w:pPr>
      <w:jc w:val="left"/>
    </w:pPr>
  </w:style>
  <w:style w:type="paragraph" w:styleId="5">
    <w:name w:val="Plain Text"/>
    <w:link w:val="16"/>
    <w:qFormat/>
    <w:uiPriority w:val="0"/>
    <w:pPr>
      <w:widowControl w:val="0"/>
      <w:jc w:val="both"/>
    </w:pPr>
    <w:rPr>
      <w:rFonts w:ascii="宋体" w:hAnsi="宋体" w:eastAsia="宋体" w:cs="宋体"/>
      <w:color w:val="000000"/>
      <w:kern w:val="2"/>
      <w:sz w:val="21"/>
      <w:szCs w:val="21"/>
      <w:u w:color="000000"/>
      <w:lang w:val="en-US" w:eastAsia="zh-CN" w:bidi="ar-SA"/>
    </w:rPr>
  </w:style>
  <w:style w:type="paragraph" w:styleId="6">
    <w:name w:val="Balloon Text"/>
    <w:basedOn w:val="1"/>
    <w:link w:val="21"/>
    <w:semiHidden/>
    <w:unhideWhenUsed/>
    <w:qFormat/>
    <w:uiPriority w:val="99"/>
    <w:rPr>
      <w:sz w:val="18"/>
      <w:szCs w:val="18"/>
    </w:rPr>
  </w:style>
  <w:style w:type="paragraph" w:styleId="7">
    <w:name w:val="footer"/>
    <w:basedOn w:val="1"/>
    <w:link w:val="14"/>
    <w:unhideWhenUsed/>
    <w:uiPriority w:val="99"/>
    <w:pPr>
      <w:tabs>
        <w:tab w:val="center" w:pos="4153"/>
        <w:tab w:val="right" w:pos="8306"/>
      </w:tabs>
      <w:snapToGrid w:val="0"/>
      <w:jc w:val="left"/>
    </w:pPr>
    <w:rPr>
      <w:sz w:val="18"/>
      <w:szCs w:val="18"/>
    </w:rPr>
  </w:style>
  <w:style w:type="paragraph" w:styleId="8">
    <w:name w:val="header"/>
    <w:basedOn w:val="1"/>
    <w:link w:val="13"/>
    <w:semiHidden/>
    <w:unhideWhenUsed/>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20"/>
    <w:semiHidden/>
    <w:unhideWhenUsed/>
    <w:qFormat/>
    <w:uiPriority w:val="99"/>
    <w:rPr>
      <w:b/>
      <w:bCs/>
    </w:rPr>
  </w:style>
  <w:style w:type="character" w:styleId="12">
    <w:name w:val="annotation reference"/>
    <w:basedOn w:val="11"/>
    <w:semiHidden/>
    <w:unhideWhenUsed/>
    <w:qFormat/>
    <w:uiPriority w:val="99"/>
    <w:rPr>
      <w:sz w:val="21"/>
      <w:szCs w:val="21"/>
    </w:rPr>
  </w:style>
  <w:style w:type="character" w:customStyle="1" w:styleId="13">
    <w:name w:val="页眉 Char"/>
    <w:basedOn w:val="11"/>
    <w:link w:val="8"/>
    <w:semiHidden/>
    <w:uiPriority w:val="99"/>
    <w:rPr>
      <w:sz w:val="18"/>
      <w:szCs w:val="18"/>
    </w:rPr>
  </w:style>
  <w:style w:type="character" w:customStyle="1" w:styleId="14">
    <w:name w:val="页脚 Char"/>
    <w:basedOn w:val="11"/>
    <w:link w:val="7"/>
    <w:uiPriority w:val="99"/>
    <w:rPr>
      <w:sz w:val="18"/>
      <w:szCs w:val="18"/>
    </w:rPr>
  </w:style>
  <w:style w:type="character" w:customStyle="1" w:styleId="15">
    <w:name w:val="标题 3 Char"/>
    <w:basedOn w:val="11"/>
    <w:link w:val="3"/>
    <w:uiPriority w:val="0"/>
    <w:rPr>
      <w:rFonts w:ascii="Calibri" w:hAnsi="Calibri" w:eastAsia="Calibri" w:cs="Calibri"/>
      <w:b/>
      <w:bCs/>
      <w:color w:val="000000"/>
      <w:sz w:val="32"/>
      <w:szCs w:val="32"/>
      <w:u w:color="000000"/>
    </w:rPr>
  </w:style>
  <w:style w:type="character" w:customStyle="1" w:styleId="16">
    <w:name w:val="纯文本 Char"/>
    <w:basedOn w:val="11"/>
    <w:link w:val="5"/>
    <w:uiPriority w:val="0"/>
    <w:rPr>
      <w:rFonts w:ascii="宋体" w:hAnsi="宋体" w:eastAsia="宋体" w:cs="宋体"/>
      <w:color w:val="000000"/>
      <w:szCs w:val="21"/>
      <w:u w:color="000000"/>
    </w:rPr>
  </w:style>
  <w:style w:type="paragraph" w:customStyle="1" w:styleId="17">
    <w:name w:val="正文 A A"/>
    <w:uiPriority w:val="0"/>
    <w:pPr>
      <w:widowControl w:val="0"/>
      <w:spacing w:after="160" w:line="259" w:lineRule="auto"/>
      <w:jc w:val="both"/>
    </w:pPr>
    <w:rPr>
      <w:rFonts w:ascii="Calibri" w:hAnsi="Calibri" w:eastAsia="Calibri" w:cs="Calibri"/>
      <w:color w:val="000000"/>
      <w:sz w:val="22"/>
      <w:szCs w:val="22"/>
      <w:u w:color="000000"/>
      <w:lang w:val="en-US" w:eastAsia="zh-CN" w:bidi="ar-SA"/>
    </w:rPr>
  </w:style>
  <w:style w:type="paragraph" w:customStyle="1" w:styleId="18">
    <w:name w:val="正文 A"/>
    <w:uiPriority w:val="0"/>
    <w:pPr>
      <w:widowControl w:val="0"/>
      <w:jc w:val="both"/>
    </w:pPr>
    <w:rPr>
      <w:rFonts w:ascii="Calibri" w:hAnsi="Calibri" w:eastAsia="Calibri" w:cs="Calibri"/>
      <w:color w:val="000000"/>
      <w:kern w:val="2"/>
      <w:sz w:val="21"/>
      <w:szCs w:val="21"/>
      <w:u w:color="000000"/>
      <w:lang w:val="en-US" w:eastAsia="zh-CN" w:bidi="ar-SA"/>
    </w:rPr>
  </w:style>
  <w:style w:type="character" w:customStyle="1" w:styleId="19">
    <w:name w:val="批注文字 Char"/>
    <w:basedOn w:val="11"/>
    <w:link w:val="4"/>
    <w:semiHidden/>
    <w:qFormat/>
    <w:uiPriority w:val="99"/>
  </w:style>
  <w:style w:type="character" w:customStyle="1" w:styleId="20">
    <w:name w:val="批注主题 Char"/>
    <w:basedOn w:val="19"/>
    <w:link w:val="9"/>
    <w:semiHidden/>
    <w:qFormat/>
    <w:uiPriority w:val="99"/>
    <w:rPr>
      <w:b/>
      <w:bCs/>
    </w:rPr>
  </w:style>
  <w:style w:type="character" w:customStyle="1" w:styleId="21">
    <w:name w:val="批注框文本 Char"/>
    <w:basedOn w:val="11"/>
    <w:link w:val="6"/>
    <w:semiHidden/>
    <w:qFormat/>
    <w:uiPriority w:val="99"/>
    <w:rPr>
      <w:sz w:val="18"/>
      <w:szCs w:val="18"/>
    </w:rPr>
  </w:style>
  <w:style w:type="character" w:customStyle="1" w:styleId="22">
    <w:name w:val="标题 2 Char"/>
    <w:basedOn w:val="11"/>
    <w:link w:val="2"/>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757</Words>
  <Characters>4320</Characters>
  <Lines>36</Lines>
  <Paragraphs>10</Paragraphs>
  <TotalTime>69</TotalTime>
  <ScaleCrop>false</ScaleCrop>
  <LinksUpToDate>false</LinksUpToDate>
  <CharactersWithSpaces>5067</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2019-10-31T03:07:00Z</dcterms:created>
  <dc:creator>赵劼</dc:creator>
  <cp:lastModifiedBy>Darcy</cp:lastModifiedBy>
  <dcterms:modified xsi:type="dcterms:W3CDTF">2019-11-08T01:57:55Z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