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rPr>
          <w:rFonts w:ascii="仿宋_GB2312" w:hAnsi="仿宋_GB2312" w:eastAsia="仿宋_GB2312" w:cs="仿宋_GB2312"/>
          <w:sz w:val="32"/>
          <w:szCs w:val="32"/>
        </w:rPr>
      </w:pPr>
      <w:bookmarkStart w:id="0" w:name="_GoBack"/>
      <w:bookmarkEnd w:id="0"/>
    </w:p>
    <w:p>
      <w:pPr>
        <w:spacing w:line="276" w:lineRule="auto"/>
        <w:jc w:val="center"/>
        <w:rPr>
          <w:rFonts w:ascii="华文中宋" w:hAnsi="华文中宋" w:eastAsia="华文中宋" w:cs="宋体"/>
          <w:b/>
          <w:bCs/>
          <w:kern w:val="0"/>
          <w:sz w:val="42"/>
          <w:szCs w:val="42"/>
        </w:rPr>
      </w:pPr>
      <w:r>
        <w:rPr>
          <w:rFonts w:hint="eastAsia" w:ascii="华文中宋" w:hAnsi="华文中宋" w:eastAsia="华文中宋" w:cs="宋体"/>
          <w:b/>
          <w:bCs/>
          <w:kern w:val="0"/>
          <w:sz w:val="42"/>
          <w:szCs w:val="42"/>
        </w:rPr>
        <w:t>《中国清洁发展机制基金管理办法》</w:t>
      </w:r>
    </w:p>
    <w:p>
      <w:pPr>
        <w:spacing w:line="276" w:lineRule="auto"/>
        <w:jc w:val="center"/>
        <w:rPr>
          <w:rFonts w:ascii="华文中宋" w:hAnsi="华文中宋" w:eastAsia="华文中宋" w:cs="宋体"/>
          <w:b/>
          <w:bCs/>
          <w:kern w:val="0"/>
          <w:sz w:val="42"/>
          <w:szCs w:val="42"/>
        </w:rPr>
      </w:pPr>
      <w:r>
        <w:rPr>
          <w:rFonts w:hint="eastAsia" w:ascii="华文中宋" w:hAnsi="华文中宋" w:eastAsia="华文中宋" w:cs="宋体"/>
          <w:b/>
          <w:bCs/>
          <w:kern w:val="0"/>
          <w:sz w:val="42"/>
          <w:szCs w:val="42"/>
        </w:rPr>
        <w:t>(修订草案征求意见稿)</w:t>
      </w:r>
    </w:p>
    <w:p>
      <w:pPr>
        <w:spacing w:line="360" w:lineRule="auto"/>
        <w:jc w:val="center"/>
        <w:rPr>
          <w:rFonts w:ascii="仿宋_GB2312" w:hAnsi="宋体" w:eastAsia="仿宋_GB2312" w:cs="宋体"/>
          <w:b/>
          <w:bCs/>
          <w:kern w:val="0"/>
          <w:sz w:val="30"/>
          <w:szCs w:val="30"/>
        </w:rPr>
      </w:pPr>
    </w:p>
    <w:p>
      <w:pPr>
        <w:spacing w:line="360" w:lineRule="auto"/>
        <w:jc w:val="center"/>
        <w:rPr>
          <w:rFonts w:ascii="黑体" w:hAnsi="黑体" w:eastAsia="黑体" w:cs="宋体"/>
          <w:b/>
          <w:bCs/>
          <w:kern w:val="0"/>
          <w:sz w:val="32"/>
          <w:szCs w:val="32"/>
        </w:rPr>
      </w:pPr>
      <w:r>
        <w:rPr>
          <w:rFonts w:hint="eastAsia" w:ascii="黑体" w:hAnsi="黑体" w:eastAsia="黑体" w:cs="宋体"/>
          <w:b/>
          <w:bCs/>
          <w:kern w:val="0"/>
          <w:sz w:val="32"/>
          <w:szCs w:val="32"/>
        </w:rPr>
        <w:t>第一章 总则</w:t>
      </w:r>
    </w:p>
    <w:p>
      <w:pPr>
        <w:pStyle w:val="11"/>
        <w:numPr>
          <w:ilvl w:val="0"/>
          <w:numId w:val="1"/>
        </w:numPr>
        <w:spacing w:line="360" w:lineRule="auto"/>
        <w:ind w:left="0" w:firstLine="540" w:firstLineChars="0"/>
        <w:rPr>
          <w:rFonts w:ascii="仿宋_GB2312" w:hAnsi="宋体" w:eastAsia="仿宋_GB2312" w:cs="宋体"/>
          <w:kern w:val="0"/>
          <w:sz w:val="32"/>
          <w:szCs w:val="32"/>
        </w:rPr>
      </w:pPr>
      <w:r>
        <w:rPr>
          <w:rFonts w:hint="eastAsia" w:ascii="仿宋_GB2312" w:hAnsi="宋体" w:eastAsia="仿宋_GB2312" w:cs="宋体"/>
          <w:kern w:val="0"/>
          <w:sz w:val="32"/>
          <w:szCs w:val="32"/>
        </w:rPr>
        <w:t>为加强和规范中国清洁发展机制基金（以下简称基金）的资金筹集、管理和使用，实现基金宗旨，制定本办法。</w:t>
      </w:r>
    </w:p>
    <w:p>
      <w:pPr>
        <w:pStyle w:val="11"/>
        <w:numPr>
          <w:ilvl w:val="0"/>
          <w:numId w:val="1"/>
        </w:numPr>
        <w:spacing w:line="360" w:lineRule="auto"/>
        <w:ind w:left="0" w:firstLine="540" w:firstLineChars="0"/>
        <w:rPr>
          <w:rFonts w:ascii="仿宋_GB2312" w:hAnsi="宋体" w:eastAsia="仿宋_GB2312" w:cs="宋体"/>
          <w:kern w:val="0"/>
          <w:sz w:val="32"/>
          <w:szCs w:val="32"/>
        </w:rPr>
      </w:pPr>
      <w:r>
        <w:rPr>
          <w:rFonts w:hint="eastAsia" w:ascii="仿宋_GB2312" w:hAnsi="宋体" w:eastAsia="仿宋_GB2312" w:cs="宋体"/>
          <w:kern w:val="0"/>
          <w:sz w:val="32"/>
          <w:szCs w:val="32"/>
        </w:rPr>
        <w:t>基金是由国家批准设立的政策性基金，按照市场化模式进行管理。</w:t>
      </w:r>
    </w:p>
    <w:p>
      <w:pPr>
        <w:pStyle w:val="11"/>
        <w:numPr>
          <w:ilvl w:val="0"/>
          <w:numId w:val="1"/>
        </w:numPr>
        <w:spacing w:line="360" w:lineRule="auto"/>
        <w:ind w:left="0" w:firstLine="540" w:firstLineChars="0"/>
        <w:rPr>
          <w:rFonts w:ascii="仿宋_GB2312" w:hAnsi="宋体" w:eastAsia="仿宋_GB2312" w:cs="宋体"/>
          <w:kern w:val="0"/>
          <w:sz w:val="32"/>
          <w:szCs w:val="32"/>
        </w:rPr>
      </w:pPr>
      <w:r>
        <w:rPr>
          <w:rFonts w:hint="eastAsia" w:ascii="仿宋_GB2312" w:hAnsi="宋体" w:eastAsia="仿宋_GB2312" w:cs="宋体"/>
          <w:kern w:val="0"/>
          <w:sz w:val="32"/>
          <w:szCs w:val="32"/>
        </w:rPr>
        <w:t>基金的宗旨是支持国家应对气候变化、污染防治和生态保护等绿色低碳领域活动，促进经济社会高质量发展。</w:t>
      </w:r>
    </w:p>
    <w:p>
      <w:pPr>
        <w:pStyle w:val="11"/>
        <w:numPr>
          <w:ilvl w:val="0"/>
          <w:numId w:val="1"/>
        </w:numPr>
        <w:spacing w:line="360" w:lineRule="auto"/>
        <w:ind w:left="0" w:firstLine="540" w:firstLineChars="0"/>
        <w:rPr>
          <w:rFonts w:ascii="仿宋_GB2312" w:hAnsi="宋体" w:eastAsia="仿宋_GB2312" w:cs="宋体"/>
          <w:kern w:val="0"/>
          <w:sz w:val="32"/>
          <w:szCs w:val="32"/>
        </w:rPr>
      </w:pPr>
      <w:r>
        <w:rPr>
          <w:rFonts w:hint="eastAsia" w:ascii="仿宋_GB2312" w:hAnsi="宋体" w:eastAsia="仿宋_GB2312" w:cs="宋体"/>
          <w:kern w:val="0"/>
          <w:sz w:val="32"/>
          <w:szCs w:val="32"/>
        </w:rPr>
        <w:t>基金的筹集、管理和使用，应当遵循公开、公正、安全、效率、专款专用的原则。</w:t>
      </w:r>
    </w:p>
    <w:p>
      <w:pPr>
        <w:pStyle w:val="11"/>
        <w:spacing w:line="360" w:lineRule="auto"/>
        <w:ind w:left="540" w:firstLine="0" w:firstLineChars="0"/>
        <w:rPr>
          <w:rFonts w:ascii="仿宋_GB2312" w:hAnsi="宋体" w:eastAsia="仿宋_GB2312" w:cs="宋体"/>
          <w:kern w:val="0"/>
          <w:sz w:val="32"/>
          <w:szCs w:val="32"/>
        </w:rPr>
      </w:pPr>
    </w:p>
    <w:p>
      <w:pPr>
        <w:spacing w:line="360" w:lineRule="auto"/>
        <w:jc w:val="center"/>
        <w:rPr>
          <w:rFonts w:ascii="黑体" w:hAnsi="黑体" w:eastAsia="黑体"/>
          <w:sz w:val="32"/>
          <w:szCs w:val="32"/>
        </w:rPr>
      </w:pPr>
      <w:r>
        <w:rPr>
          <w:rFonts w:hint="eastAsia" w:ascii="黑体" w:hAnsi="黑体" w:eastAsia="黑体" w:cs="宋体"/>
          <w:b/>
          <w:bCs/>
          <w:kern w:val="0"/>
          <w:sz w:val="32"/>
          <w:szCs w:val="32"/>
        </w:rPr>
        <w:t>第二章　基金组织架构</w:t>
      </w:r>
    </w:p>
    <w:p>
      <w:pPr>
        <w:pStyle w:val="11"/>
        <w:numPr>
          <w:ilvl w:val="0"/>
          <w:numId w:val="1"/>
        </w:numPr>
        <w:spacing w:line="360" w:lineRule="auto"/>
        <w:ind w:left="0" w:firstLine="540" w:firstLineChars="0"/>
        <w:rPr>
          <w:rFonts w:ascii="仿宋_GB2312" w:eastAsia="仿宋_GB2312"/>
          <w:sz w:val="32"/>
          <w:szCs w:val="32"/>
        </w:rPr>
      </w:pPr>
      <w:r>
        <w:rPr>
          <w:rFonts w:hint="eastAsia" w:ascii="仿宋_GB2312" w:hAnsi="宋体" w:eastAsia="仿宋_GB2312" w:cs="宋体"/>
          <w:kern w:val="0"/>
          <w:sz w:val="32"/>
          <w:szCs w:val="32"/>
        </w:rPr>
        <w:t>基金的组织架构由基金政策指导委员会和基金管理中心组成。</w:t>
      </w:r>
    </w:p>
    <w:p>
      <w:pPr>
        <w:pStyle w:val="11"/>
        <w:numPr>
          <w:ilvl w:val="0"/>
          <w:numId w:val="1"/>
        </w:numPr>
        <w:spacing w:line="360" w:lineRule="auto"/>
        <w:ind w:left="0" w:firstLine="540" w:firstLineChars="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基金政策指导委员会是关于基金事务的部际议事机构，负责对基金进行政策指导。                                                                                      </w:t>
      </w:r>
    </w:p>
    <w:p>
      <w:pPr>
        <w:pStyle w:val="11"/>
        <w:widowControl/>
        <w:spacing w:line="360" w:lineRule="auto"/>
        <w:ind w:firstLine="720" w:firstLineChars="225"/>
        <w:rPr>
          <w:rFonts w:ascii="仿宋_GB2312" w:hAnsi="宋体" w:eastAsia="仿宋_GB2312" w:cs="宋体"/>
          <w:kern w:val="0"/>
          <w:sz w:val="32"/>
          <w:szCs w:val="32"/>
        </w:rPr>
      </w:pPr>
      <w:r>
        <w:rPr>
          <w:rFonts w:hint="eastAsia" w:ascii="仿宋_GB2312" w:hAnsi="宋体" w:eastAsia="仿宋_GB2312" w:cs="宋体"/>
          <w:kern w:val="0"/>
          <w:sz w:val="32"/>
          <w:szCs w:val="32"/>
        </w:rPr>
        <w:t>基金政策指导委员会由财政部、生态环境部、外交部、发展改革委、科学技术部、农业农村部和中国气象局的代表组成。</w:t>
      </w:r>
    </w:p>
    <w:p>
      <w:pPr>
        <w:pStyle w:val="11"/>
        <w:widowControl/>
        <w:spacing w:line="360" w:lineRule="auto"/>
        <w:ind w:firstLine="720" w:firstLineChars="225"/>
        <w:rPr>
          <w:kern w:val="0"/>
        </w:rPr>
      </w:pPr>
      <w:r>
        <w:rPr>
          <w:rFonts w:hint="eastAsia" w:ascii="仿宋_GB2312" w:hAnsi="宋体" w:eastAsia="仿宋_GB2312" w:cs="宋体"/>
          <w:kern w:val="0"/>
          <w:sz w:val="32"/>
          <w:szCs w:val="32"/>
        </w:rPr>
        <w:t>基金政策指导委员会设联合主席，由财政部和生态环境部的代表担任。</w:t>
      </w:r>
    </w:p>
    <w:p>
      <w:pPr>
        <w:pStyle w:val="11"/>
        <w:numPr>
          <w:ilvl w:val="0"/>
          <w:numId w:val="1"/>
        </w:numPr>
        <w:spacing w:line="360" w:lineRule="auto"/>
        <w:ind w:left="0" w:firstLine="540" w:firstLineChars="0"/>
        <w:rPr>
          <w:rFonts w:ascii="仿宋_GB2312" w:eastAsia="仿宋_GB2312"/>
          <w:sz w:val="32"/>
          <w:szCs w:val="32"/>
        </w:rPr>
      </w:pPr>
      <w:r>
        <w:rPr>
          <w:rFonts w:hint="eastAsia" w:ascii="仿宋_GB2312" w:hAnsi="宋体" w:eastAsia="仿宋_GB2312" w:cs="宋体"/>
          <w:kern w:val="0"/>
          <w:sz w:val="32"/>
          <w:szCs w:val="32"/>
        </w:rPr>
        <w:t xml:space="preserve">基金政策指导委员会履行下列职责: </w:t>
      </w:r>
    </w:p>
    <w:p>
      <w:pPr>
        <w:pStyle w:val="11"/>
        <w:widowControl/>
        <w:spacing w:line="360" w:lineRule="auto"/>
        <w:ind w:firstLine="720" w:firstLineChars="225"/>
        <w:rPr>
          <w:rFonts w:ascii="仿宋_GB2312" w:hAnsi="宋体" w:eastAsia="仿宋_GB2312" w:cs="宋体"/>
          <w:kern w:val="0"/>
          <w:sz w:val="32"/>
          <w:szCs w:val="32"/>
        </w:rPr>
      </w:pPr>
      <w:r>
        <w:rPr>
          <w:rFonts w:hint="eastAsia" w:ascii="仿宋_GB2312" w:eastAsia="仿宋_GB2312"/>
          <w:sz w:val="32"/>
          <w:szCs w:val="32"/>
        </w:rPr>
        <w:t>（一）指导制定基</w:t>
      </w:r>
      <w:r>
        <w:rPr>
          <w:rFonts w:hint="eastAsia" w:ascii="仿宋_GB2312" w:hAnsi="宋体" w:eastAsia="仿宋_GB2312" w:cs="宋体"/>
          <w:kern w:val="0"/>
          <w:sz w:val="32"/>
          <w:szCs w:val="32"/>
        </w:rPr>
        <w:t>金基本管理制度；</w:t>
      </w:r>
    </w:p>
    <w:p>
      <w:pPr>
        <w:pStyle w:val="11"/>
        <w:widowControl/>
        <w:spacing w:line="360" w:lineRule="auto"/>
        <w:ind w:firstLine="720" w:firstLineChars="225"/>
        <w:rPr>
          <w:rFonts w:ascii="仿宋_GB2312" w:hAnsi="宋体" w:eastAsia="仿宋_GB2312" w:cs="宋体"/>
          <w:kern w:val="0"/>
          <w:sz w:val="32"/>
          <w:szCs w:val="32"/>
        </w:rPr>
      </w:pPr>
      <w:r>
        <w:rPr>
          <w:rFonts w:hint="eastAsia" w:ascii="仿宋_GB2312" w:hAnsi="宋体" w:eastAsia="仿宋_GB2312" w:cs="宋体"/>
          <w:kern w:val="0"/>
          <w:sz w:val="32"/>
          <w:szCs w:val="32"/>
        </w:rPr>
        <w:t>（二）对基金发展</w:t>
      </w:r>
      <w:r>
        <w:rPr>
          <w:rFonts w:ascii="仿宋_GB2312" w:hAnsi="宋体" w:eastAsia="仿宋_GB2312" w:cs="宋体"/>
          <w:kern w:val="0"/>
          <w:sz w:val="32"/>
          <w:szCs w:val="32"/>
        </w:rPr>
        <w:t>方向、</w:t>
      </w:r>
      <w:r>
        <w:rPr>
          <w:rFonts w:hint="eastAsia" w:ascii="仿宋_GB2312" w:hAnsi="宋体" w:eastAsia="仿宋_GB2312" w:cs="宋体"/>
          <w:kern w:val="0"/>
          <w:sz w:val="32"/>
          <w:szCs w:val="32"/>
        </w:rPr>
        <w:t>中长期发展战略和</w:t>
      </w:r>
      <w:r>
        <w:rPr>
          <w:rFonts w:ascii="仿宋_GB2312" w:hAnsi="宋体" w:eastAsia="仿宋_GB2312" w:cs="宋体"/>
          <w:kern w:val="0"/>
          <w:sz w:val="32"/>
          <w:szCs w:val="32"/>
        </w:rPr>
        <w:t>业务发展</w:t>
      </w:r>
      <w:r>
        <w:rPr>
          <w:rFonts w:hint="eastAsia" w:ascii="仿宋_GB2312" w:hAnsi="宋体" w:eastAsia="仿宋_GB2312" w:cs="宋体"/>
          <w:kern w:val="0"/>
          <w:sz w:val="32"/>
          <w:szCs w:val="32"/>
        </w:rPr>
        <w:t>给予政策</w:t>
      </w:r>
      <w:r>
        <w:rPr>
          <w:rFonts w:ascii="仿宋_GB2312" w:hAnsi="宋体" w:eastAsia="仿宋_GB2312" w:cs="宋体"/>
          <w:kern w:val="0"/>
          <w:sz w:val="32"/>
          <w:szCs w:val="32"/>
        </w:rPr>
        <w:t>性</w:t>
      </w:r>
      <w:r>
        <w:rPr>
          <w:rFonts w:hint="eastAsia" w:ascii="仿宋_GB2312" w:hAnsi="宋体" w:eastAsia="仿宋_GB2312" w:cs="宋体"/>
          <w:kern w:val="0"/>
          <w:sz w:val="32"/>
          <w:szCs w:val="32"/>
        </w:rPr>
        <w:t xml:space="preserve">指导；     </w:t>
      </w:r>
    </w:p>
    <w:p>
      <w:pPr>
        <w:pStyle w:val="11"/>
        <w:widowControl/>
        <w:spacing w:line="360" w:lineRule="auto"/>
        <w:ind w:firstLine="720" w:firstLineChars="225"/>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（三）对赠款支持方向、领域、政策、规模提出指导意见；               </w:t>
      </w:r>
    </w:p>
    <w:p>
      <w:pPr>
        <w:pStyle w:val="11"/>
        <w:widowControl/>
        <w:spacing w:line="360" w:lineRule="auto"/>
        <w:ind w:firstLine="720" w:firstLineChars="225"/>
        <w:rPr>
          <w:kern w:val="0"/>
        </w:rPr>
      </w:pPr>
      <w:r>
        <w:rPr>
          <w:rFonts w:hint="eastAsia" w:ascii="仿宋_GB2312" w:hAnsi="宋体" w:eastAsia="仿宋_GB2312" w:cs="宋体"/>
          <w:kern w:val="0"/>
          <w:sz w:val="32"/>
          <w:szCs w:val="32"/>
        </w:rPr>
        <w:t>（四）对其他影响基金发展的重大事项进行研究并提出指导意见。</w:t>
      </w:r>
    </w:p>
    <w:p>
      <w:pPr>
        <w:pStyle w:val="11"/>
        <w:widowControl/>
        <w:spacing w:line="360" w:lineRule="auto"/>
        <w:ind w:firstLine="720" w:firstLineChars="225"/>
        <w:rPr>
          <w:rFonts w:ascii="仿宋_GB2312" w:hAnsi="宋体" w:eastAsia="仿宋_GB2312" w:cs="宋体"/>
          <w:kern w:val="0"/>
          <w:sz w:val="32"/>
          <w:szCs w:val="32"/>
        </w:rPr>
      </w:pPr>
      <w:r>
        <w:rPr>
          <w:rFonts w:hint="eastAsia" w:ascii="仿宋_GB2312" w:hAnsi="宋体" w:eastAsia="仿宋_GB2312" w:cs="宋体"/>
          <w:kern w:val="0"/>
          <w:sz w:val="32"/>
          <w:szCs w:val="32"/>
        </w:rPr>
        <w:t>基金政策指导委员会会议由主席单位召集和主持。</w:t>
      </w:r>
    </w:p>
    <w:p>
      <w:pPr>
        <w:pStyle w:val="11"/>
        <w:widowControl/>
        <w:spacing w:line="360" w:lineRule="auto"/>
        <w:ind w:firstLine="720" w:firstLineChars="225"/>
        <w:rPr>
          <w:rFonts w:ascii="仿宋_GB2312" w:hAnsi="宋体" w:eastAsia="仿宋_GB2312" w:cs="宋体"/>
          <w:kern w:val="0"/>
          <w:sz w:val="32"/>
          <w:szCs w:val="32"/>
        </w:rPr>
      </w:pPr>
      <w:r>
        <w:rPr>
          <w:rFonts w:hint="eastAsia" w:ascii="仿宋_GB2312" w:hAnsi="宋体" w:eastAsia="仿宋_GB2312" w:cs="宋体"/>
          <w:kern w:val="0"/>
          <w:sz w:val="32"/>
          <w:szCs w:val="32"/>
        </w:rPr>
        <w:t>基金政策指导委员会下设秘书处，由基金管理中心承担具体工作。</w:t>
      </w:r>
    </w:p>
    <w:p>
      <w:pPr>
        <w:pStyle w:val="11"/>
        <w:numPr>
          <w:ilvl w:val="0"/>
          <w:numId w:val="1"/>
        </w:numPr>
        <w:spacing w:line="360" w:lineRule="auto"/>
        <w:ind w:left="0" w:firstLine="540" w:firstLineChars="0"/>
        <w:rPr>
          <w:rFonts w:ascii="仿宋_GB2312" w:hAnsi="宋体" w:eastAsia="仿宋_GB2312" w:cs="宋体"/>
          <w:kern w:val="0"/>
          <w:sz w:val="32"/>
          <w:szCs w:val="32"/>
        </w:rPr>
      </w:pPr>
      <w:r>
        <w:rPr>
          <w:rFonts w:hint="eastAsia" w:ascii="仿宋_GB2312" w:hAnsi="宋体" w:eastAsia="仿宋_GB2312" w:cs="宋体"/>
          <w:kern w:val="0"/>
          <w:sz w:val="32"/>
          <w:szCs w:val="32"/>
        </w:rPr>
        <w:t>基金管理中心是基金的管理机构，具体负责基金的筹集、管理和使用工作，由财政部归口管理。</w:t>
      </w:r>
    </w:p>
    <w:p>
      <w:pPr>
        <w:pStyle w:val="11"/>
        <w:numPr>
          <w:ilvl w:val="0"/>
          <w:numId w:val="1"/>
        </w:numPr>
        <w:spacing w:line="360" w:lineRule="auto"/>
        <w:ind w:left="0" w:firstLine="540" w:firstLineChars="0"/>
        <w:rPr>
          <w:rFonts w:ascii="仿宋_GB2312" w:hAnsi="宋体" w:eastAsia="仿宋_GB2312" w:cs="宋体"/>
          <w:kern w:val="0"/>
          <w:sz w:val="32"/>
          <w:szCs w:val="32"/>
        </w:rPr>
      </w:pPr>
      <w:r>
        <w:rPr>
          <w:rFonts w:hint="eastAsia" w:ascii="仿宋_GB2312" w:hAnsi="宋体" w:eastAsia="仿宋_GB2312" w:cs="宋体"/>
          <w:kern w:val="0"/>
          <w:sz w:val="32"/>
          <w:szCs w:val="32"/>
        </w:rPr>
        <w:t>基金管理中心履行下列职责：</w:t>
      </w:r>
    </w:p>
    <w:p>
      <w:pPr>
        <w:pStyle w:val="11"/>
        <w:widowControl/>
        <w:spacing w:line="360" w:lineRule="auto"/>
        <w:ind w:firstLine="720" w:firstLineChars="225"/>
        <w:rPr>
          <w:rFonts w:ascii="仿宋_GB2312" w:hAnsi="宋体" w:eastAsia="仿宋_GB2312" w:cs="宋体"/>
          <w:kern w:val="0"/>
          <w:sz w:val="32"/>
          <w:szCs w:val="32"/>
        </w:rPr>
      </w:pPr>
      <w:r>
        <w:rPr>
          <w:rFonts w:hint="eastAsia" w:ascii="仿宋_GB2312" w:hAnsi="宋体" w:eastAsia="仿宋_GB2312" w:cs="宋体"/>
          <w:kern w:val="0"/>
          <w:sz w:val="32"/>
          <w:szCs w:val="32"/>
        </w:rPr>
        <w:t>（一）起草基金基本管理制度和制定基金具体运行管理规定；</w:t>
      </w:r>
    </w:p>
    <w:p>
      <w:pPr>
        <w:pStyle w:val="11"/>
        <w:widowControl/>
        <w:spacing w:line="360" w:lineRule="auto"/>
        <w:ind w:firstLine="720" w:firstLineChars="225"/>
        <w:rPr>
          <w:rFonts w:ascii="仿宋_GB2312" w:hAnsi="宋体" w:eastAsia="仿宋_GB2312" w:cs="宋体"/>
          <w:kern w:val="0"/>
          <w:sz w:val="32"/>
          <w:szCs w:val="32"/>
        </w:rPr>
      </w:pPr>
      <w:r>
        <w:rPr>
          <w:rFonts w:hint="eastAsia" w:ascii="仿宋_GB2312" w:hAnsi="宋体" w:eastAsia="仿宋_GB2312" w:cs="宋体"/>
          <w:kern w:val="0"/>
          <w:sz w:val="32"/>
          <w:szCs w:val="32"/>
        </w:rPr>
        <w:t>（二）筹集和管理基金资金；</w:t>
      </w:r>
    </w:p>
    <w:p>
      <w:pPr>
        <w:pStyle w:val="11"/>
        <w:widowControl/>
        <w:spacing w:line="360" w:lineRule="auto"/>
        <w:ind w:firstLine="720" w:firstLineChars="225"/>
        <w:rPr>
          <w:rFonts w:ascii="仿宋_GB2312" w:hAnsi="宋体" w:eastAsia="仿宋_GB2312" w:cs="宋体"/>
          <w:kern w:val="0"/>
          <w:sz w:val="32"/>
          <w:szCs w:val="32"/>
        </w:rPr>
      </w:pPr>
      <w:r>
        <w:rPr>
          <w:rFonts w:hint="eastAsia" w:ascii="仿宋_GB2312" w:hAnsi="宋体" w:eastAsia="仿宋_GB2312" w:cs="宋体"/>
          <w:kern w:val="0"/>
          <w:sz w:val="32"/>
          <w:szCs w:val="32"/>
        </w:rPr>
        <w:t>（三）组织开展赠款、有偿使用和理财等业务；</w:t>
      </w:r>
    </w:p>
    <w:p>
      <w:pPr>
        <w:pStyle w:val="11"/>
        <w:widowControl/>
        <w:spacing w:line="360" w:lineRule="auto"/>
        <w:ind w:firstLine="720" w:firstLineChars="225"/>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（四）对有偿使用和赠款项目进行监督管理；                                                      </w:t>
      </w:r>
    </w:p>
    <w:p>
      <w:pPr>
        <w:pStyle w:val="11"/>
        <w:widowControl/>
        <w:spacing w:line="360" w:lineRule="auto"/>
        <w:ind w:firstLine="720" w:firstLineChars="225"/>
        <w:rPr>
          <w:rFonts w:ascii="仿宋_GB2312" w:hAnsi="宋体" w:eastAsia="仿宋_GB2312" w:cs="宋体"/>
          <w:kern w:val="0"/>
          <w:sz w:val="32"/>
          <w:szCs w:val="32"/>
        </w:rPr>
      </w:pPr>
      <w:r>
        <w:rPr>
          <w:rFonts w:hint="eastAsia" w:ascii="仿宋_GB2312" w:hAnsi="宋体" w:eastAsia="仿宋_GB2312" w:cs="宋体"/>
          <w:kern w:val="0"/>
          <w:sz w:val="32"/>
          <w:szCs w:val="32"/>
        </w:rPr>
        <w:t>（五）向基金政策指导委员会报告基金年度业务开展等情况；</w:t>
      </w:r>
    </w:p>
    <w:p>
      <w:pPr>
        <w:pStyle w:val="11"/>
        <w:widowControl/>
        <w:spacing w:line="360" w:lineRule="auto"/>
        <w:ind w:firstLine="720" w:firstLineChars="225"/>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（六）履行基金政策指导委员会秘书处职责；                                                      </w:t>
      </w:r>
    </w:p>
    <w:p>
      <w:pPr>
        <w:pStyle w:val="11"/>
        <w:widowControl/>
        <w:spacing w:line="360" w:lineRule="auto"/>
        <w:ind w:firstLine="720" w:firstLineChars="225"/>
        <w:rPr>
          <w:rFonts w:ascii="仿宋_GB2312" w:hAnsi="宋体" w:eastAsia="仿宋_GB2312" w:cs="宋体"/>
          <w:kern w:val="0"/>
          <w:sz w:val="32"/>
          <w:szCs w:val="32"/>
        </w:rPr>
      </w:pPr>
      <w:r>
        <w:rPr>
          <w:rFonts w:hint="eastAsia" w:ascii="仿宋_GB2312" w:hAnsi="宋体" w:eastAsia="仿宋_GB2312" w:cs="宋体"/>
          <w:kern w:val="0"/>
          <w:sz w:val="32"/>
          <w:szCs w:val="32"/>
        </w:rPr>
        <w:t>（七）开展其他符合基金宗旨的活动。</w:t>
      </w:r>
    </w:p>
    <w:p>
      <w:pPr>
        <w:spacing w:line="360" w:lineRule="auto"/>
        <w:jc w:val="center"/>
        <w:rPr>
          <w:rFonts w:ascii="黑体" w:hAnsi="黑体" w:eastAsia="黑体" w:cs="宋体"/>
          <w:b/>
          <w:bCs/>
          <w:kern w:val="0"/>
          <w:sz w:val="32"/>
          <w:szCs w:val="32"/>
        </w:rPr>
      </w:pPr>
    </w:p>
    <w:p>
      <w:pPr>
        <w:spacing w:line="360" w:lineRule="auto"/>
        <w:jc w:val="center"/>
        <w:rPr>
          <w:rFonts w:ascii="黑体" w:hAnsi="黑体" w:eastAsia="黑体" w:cs="宋体"/>
          <w:b/>
          <w:bCs/>
          <w:kern w:val="0"/>
          <w:sz w:val="32"/>
          <w:szCs w:val="32"/>
        </w:rPr>
      </w:pPr>
      <w:r>
        <w:rPr>
          <w:rFonts w:hint="eastAsia" w:ascii="黑体" w:hAnsi="黑体" w:eastAsia="黑体" w:cs="宋体"/>
          <w:b/>
          <w:bCs/>
          <w:kern w:val="0"/>
          <w:sz w:val="32"/>
          <w:szCs w:val="32"/>
        </w:rPr>
        <w:t>第三章　基金筹集</w:t>
      </w:r>
    </w:p>
    <w:p>
      <w:pPr>
        <w:pStyle w:val="11"/>
        <w:numPr>
          <w:ilvl w:val="0"/>
          <w:numId w:val="1"/>
        </w:numPr>
        <w:spacing w:line="360" w:lineRule="auto"/>
        <w:ind w:left="0" w:firstLine="540" w:firstLineChars="0"/>
        <w:rPr>
          <w:rFonts w:ascii="仿宋_GB2312" w:hAnsi="宋体" w:eastAsia="仿宋_GB2312" w:cs="宋体"/>
          <w:kern w:val="0"/>
          <w:sz w:val="32"/>
          <w:szCs w:val="32"/>
        </w:rPr>
      </w:pPr>
      <w:r>
        <w:rPr>
          <w:rFonts w:hint="eastAsia" w:ascii="仿宋_GB2312" w:hAnsi="宋体" w:eastAsia="仿宋_GB2312" w:cs="宋体"/>
          <w:kern w:val="0"/>
          <w:sz w:val="32"/>
          <w:szCs w:val="32"/>
        </w:rPr>
        <w:t>基金来源包括：</w:t>
      </w:r>
    </w:p>
    <w:p>
      <w:pPr>
        <w:pStyle w:val="11"/>
        <w:widowControl/>
        <w:spacing w:line="360" w:lineRule="auto"/>
        <w:ind w:firstLine="720" w:firstLineChars="225"/>
        <w:rPr>
          <w:rFonts w:ascii="仿宋_GB2312" w:hAnsi="宋体" w:eastAsia="仿宋_GB2312" w:cs="宋体"/>
          <w:kern w:val="0"/>
          <w:sz w:val="32"/>
          <w:szCs w:val="32"/>
        </w:rPr>
      </w:pPr>
      <w:r>
        <w:rPr>
          <w:rFonts w:hint="eastAsia" w:ascii="仿宋_GB2312" w:hAnsi="宋体" w:eastAsia="仿宋_GB2312" w:cs="宋体"/>
          <w:kern w:val="0"/>
          <w:sz w:val="32"/>
          <w:szCs w:val="32"/>
        </w:rPr>
        <w:t>（一）通过清洁发展机制项目转让温室气体减排量所获得收入中属于国家所有的部分；</w:t>
      </w:r>
    </w:p>
    <w:p>
      <w:pPr>
        <w:pStyle w:val="11"/>
        <w:widowControl/>
        <w:spacing w:line="360" w:lineRule="auto"/>
        <w:ind w:firstLine="720" w:firstLineChars="225"/>
        <w:rPr>
          <w:rFonts w:ascii="仿宋_GB2312" w:hAnsi="宋体" w:eastAsia="仿宋_GB2312" w:cs="宋体"/>
          <w:kern w:val="0"/>
          <w:sz w:val="32"/>
          <w:szCs w:val="32"/>
        </w:rPr>
      </w:pPr>
      <w:r>
        <w:rPr>
          <w:rFonts w:hint="eastAsia" w:ascii="仿宋_GB2312" w:hAnsi="宋体" w:eastAsia="仿宋_GB2312" w:cs="宋体"/>
          <w:kern w:val="0"/>
          <w:sz w:val="32"/>
          <w:szCs w:val="32"/>
        </w:rPr>
        <w:t>（二）基金运营收入；</w:t>
      </w:r>
    </w:p>
    <w:p>
      <w:pPr>
        <w:pStyle w:val="11"/>
        <w:widowControl/>
        <w:spacing w:line="360" w:lineRule="auto"/>
        <w:ind w:firstLine="720" w:firstLineChars="225"/>
        <w:rPr>
          <w:rFonts w:ascii="仿宋_GB2312" w:hAnsi="宋体" w:eastAsia="仿宋_GB2312" w:cs="宋体"/>
          <w:kern w:val="0"/>
          <w:sz w:val="32"/>
          <w:szCs w:val="32"/>
        </w:rPr>
      </w:pPr>
      <w:r>
        <w:rPr>
          <w:rFonts w:hint="eastAsia" w:ascii="仿宋_GB2312" w:hAnsi="宋体" w:eastAsia="仿宋_GB2312" w:cs="宋体"/>
          <w:kern w:val="0"/>
          <w:sz w:val="32"/>
          <w:szCs w:val="32"/>
        </w:rPr>
        <w:t>（三）国内外机构、组织和个人捐赠；</w:t>
      </w:r>
    </w:p>
    <w:p>
      <w:pPr>
        <w:pStyle w:val="11"/>
        <w:widowControl/>
        <w:spacing w:line="360" w:lineRule="auto"/>
        <w:ind w:firstLine="720" w:firstLineChars="225"/>
        <w:rPr>
          <w:rFonts w:ascii="仿宋_GB2312" w:hAnsi="宋体" w:eastAsia="仿宋_GB2312" w:cs="宋体"/>
          <w:kern w:val="0"/>
          <w:sz w:val="32"/>
          <w:szCs w:val="32"/>
        </w:rPr>
      </w:pPr>
      <w:r>
        <w:rPr>
          <w:rFonts w:hint="eastAsia" w:ascii="仿宋_GB2312" w:hAnsi="宋体" w:eastAsia="仿宋_GB2312" w:cs="宋体"/>
          <w:kern w:val="0"/>
          <w:sz w:val="32"/>
          <w:szCs w:val="32"/>
        </w:rPr>
        <w:t>（四）其他来源。</w:t>
      </w:r>
    </w:p>
    <w:p>
      <w:pPr>
        <w:pStyle w:val="11"/>
        <w:numPr>
          <w:ilvl w:val="0"/>
          <w:numId w:val="1"/>
        </w:numPr>
        <w:spacing w:line="360" w:lineRule="auto"/>
        <w:ind w:left="0" w:firstLine="540" w:firstLineChars="0"/>
        <w:rPr>
          <w:rFonts w:ascii="仿宋_GB2312" w:hAnsi="宋体" w:eastAsia="仿宋_GB2312" w:cs="宋体"/>
          <w:kern w:val="0"/>
          <w:sz w:val="32"/>
          <w:szCs w:val="32"/>
        </w:rPr>
      </w:pPr>
      <w:r>
        <w:rPr>
          <w:rFonts w:hint="eastAsia" w:ascii="仿宋_GB2312" w:hAnsi="宋体" w:eastAsia="仿宋_GB2312" w:cs="宋体"/>
          <w:kern w:val="0"/>
          <w:sz w:val="32"/>
          <w:szCs w:val="32"/>
        </w:rPr>
        <w:t>本办法所称减排量，是指经国家批准，通过清洁发展机制项目转让的温室气体减排量；减排量收入，是指转让减排量所获得的收入。</w:t>
      </w:r>
    </w:p>
    <w:p>
      <w:pPr>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减排量收入由国家和实施清洁发展机制项目的企业（以下称项目业主）按照规定的比例分别所有。减排量收入中属于国家所有的部分（以下称国家收入）全额纳入基金。</w:t>
      </w:r>
    </w:p>
    <w:p>
      <w:pPr>
        <w:pStyle w:val="11"/>
        <w:numPr>
          <w:ilvl w:val="0"/>
          <w:numId w:val="1"/>
        </w:numPr>
        <w:spacing w:line="360" w:lineRule="auto"/>
        <w:ind w:left="0" w:firstLine="540" w:firstLineChars="0"/>
        <w:rPr>
          <w:rFonts w:ascii="仿宋_GB2312" w:hAnsi="宋体" w:eastAsia="仿宋_GB2312" w:cs="宋体"/>
          <w:kern w:val="0"/>
          <w:sz w:val="32"/>
          <w:szCs w:val="32"/>
        </w:rPr>
      </w:pPr>
      <w:r>
        <w:rPr>
          <w:rFonts w:hint="eastAsia" w:ascii="仿宋_GB2312" w:hAnsi="宋体" w:eastAsia="仿宋_GB2312" w:cs="宋体"/>
          <w:kern w:val="0"/>
          <w:sz w:val="32"/>
          <w:szCs w:val="32"/>
        </w:rPr>
        <w:t>本办法所称基金运营收入，是指在本办法规定的使用范围内，基金开展有偿使用、理财等所获得的收入。</w:t>
      </w:r>
    </w:p>
    <w:p>
      <w:pPr>
        <w:pStyle w:val="11"/>
        <w:spacing w:line="360" w:lineRule="auto"/>
        <w:ind w:left="540" w:firstLine="0" w:firstLineChars="0"/>
        <w:rPr>
          <w:rFonts w:ascii="仿宋_GB2312" w:hAnsi="宋体" w:eastAsia="仿宋_GB2312" w:cs="宋体"/>
          <w:kern w:val="0"/>
          <w:sz w:val="32"/>
          <w:szCs w:val="32"/>
        </w:rPr>
      </w:pPr>
    </w:p>
    <w:p>
      <w:pPr>
        <w:spacing w:line="360" w:lineRule="auto"/>
        <w:jc w:val="center"/>
        <w:rPr>
          <w:rFonts w:ascii="黑体" w:hAnsi="黑体" w:eastAsia="黑体" w:cs="宋体"/>
          <w:b/>
          <w:bCs/>
          <w:kern w:val="0"/>
          <w:sz w:val="32"/>
          <w:szCs w:val="32"/>
        </w:rPr>
      </w:pPr>
      <w:r>
        <w:rPr>
          <w:rFonts w:hint="eastAsia" w:ascii="黑体" w:hAnsi="黑体" w:eastAsia="黑体" w:cs="宋体"/>
          <w:b/>
          <w:bCs/>
          <w:kern w:val="0"/>
          <w:sz w:val="32"/>
          <w:szCs w:val="32"/>
        </w:rPr>
        <w:t>第四章　基金使用</w:t>
      </w:r>
    </w:p>
    <w:p>
      <w:pPr>
        <w:pStyle w:val="11"/>
        <w:numPr>
          <w:ilvl w:val="0"/>
          <w:numId w:val="1"/>
        </w:numPr>
        <w:spacing w:line="360" w:lineRule="auto"/>
        <w:ind w:left="0" w:firstLine="540" w:firstLineChars="0"/>
        <w:rPr>
          <w:rFonts w:ascii="仿宋_GB2312" w:hAnsi="宋体" w:eastAsia="仿宋_GB2312" w:cs="宋体"/>
          <w:kern w:val="0"/>
          <w:sz w:val="32"/>
          <w:szCs w:val="32"/>
        </w:rPr>
      </w:pPr>
      <w:r>
        <w:rPr>
          <w:rFonts w:hint="eastAsia" w:ascii="仿宋_GB2312" w:hAnsi="宋体" w:eastAsia="仿宋_GB2312" w:cs="宋体"/>
          <w:kern w:val="0"/>
          <w:sz w:val="32"/>
          <w:szCs w:val="32"/>
        </w:rPr>
        <w:t>基金使用采取赠款、有偿使用、理财等方式。基金通过有偿使用和理财获取合理收益，以做到保本微利，实现可持续发展。</w:t>
      </w:r>
    </w:p>
    <w:p>
      <w:pPr>
        <w:pStyle w:val="11"/>
        <w:widowControl/>
        <w:spacing w:line="360" w:lineRule="auto"/>
        <w:ind w:firstLine="720" w:firstLineChars="225"/>
        <w:rPr>
          <w:rFonts w:ascii="仿宋_GB2312" w:hAnsi="宋体" w:eastAsia="仿宋_GB2312" w:cs="宋体"/>
          <w:kern w:val="0"/>
          <w:sz w:val="32"/>
          <w:szCs w:val="32"/>
        </w:rPr>
      </w:pPr>
      <w:r>
        <w:rPr>
          <w:rFonts w:hint="eastAsia" w:ascii="仿宋_GB2312" w:hAnsi="宋体" w:eastAsia="仿宋_GB2312" w:cs="宋体"/>
          <w:kern w:val="0"/>
          <w:sz w:val="32"/>
          <w:szCs w:val="32"/>
        </w:rPr>
        <w:t>基金通过安排适度规模赠款支持国家应对气候变化政策研究、能力建设和提高公众应对气候变化意识等相关活动。</w:t>
      </w:r>
    </w:p>
    <w:p>
      <w:pPr>
        <w:pStyle w:val="11"/>
        <w:widowControl/>
        <w:spacing w:line="360" w:lineRule="auto"/>
        <w:ind w:firstLine="720" w:firstLineChars="225"/>
        <w:rPr>
          <w:rFonts w:ascii="仿宋_GB2312" w:hAnsi="宋体" w:eastAsia="仿宋_GB2312" w:cs="宋体"/>
          <w:kern w:val="0"/>
          <w:sz w:val="32"/>
          <w:szCs w:val="32"/>
        </w:rPr>
      </w:pPr>
      <w:r>
        <w:rPr>
          <w:rFonts w:hint="eastAsia" w:ascii="仿宋_GB2312" w:hAnsi="宋体" w:eastAsia="仿宋_GB2312" w:cs="宋体"/>
          <w:kern w:val="0"/>
          <w:sz w:val="32"/>
          <w:szCs w:val="32"/>
        </w:rPr>
        <w:t>基金通过有偿使用方式支持低碳发展、生态保护以及有利于产生应对气候变化效益等投资活动。</w:t>
      </w:r>
    </w:p>
    <w:p>
      <w:pPr>
        <w:pStyle w:val="11"/>
        <w:widowControl/>
        <w:spacing w:line="360" w:lineRule="auto"/>
        <w:ind w:firstLine="720" w:firstLineChars="225"/>
        <w:rPr>
          <w:rFonts w:ascii="仿宋_GB2312" w:hAnsi="宋体" w:eastAsia="仿宋_GB2312" w:cs="宋体"/>
          <w:kern w:val="0"/>
          <w:sz w:val="32"/>
          <w:szCs w:val="32"/>
        </w:rPr>
      </w:pPr>
      <w:r>
        <w:rPr>
          <w:rFonts w:hint="eastAsia" w:ascii="仿宋_GB2312" w:hAnsi="宋体" w:eastAsia="仿宋_GB2312" w:cs="宋体"/>
          <w:kern w:val="0"/>
          <w:sz w:val="32"/>
          <w:szCs w:val="32"/>
        </w:rPr>
        <w:t>基金通过购买债券、银行存款等形式开展理财活动。</w:t>
      </w:r>
    </w:p>
    <w:p>
      <w:pPr>
        <w:pStyle w:val="11"/>
        <w:numPr>
          <w:ilvl w:val="0"/>
          <w:numId w:val="1"/>
        </w:numPr>
        <w:spacing w:line="360" w:lineRule="auto"/>
        <w:ind w:left="0" w:firstLine="720" w:firstLineChars="0"/>
        <w:rPr>
          <w:rFonts w:ascii="仿宋_GB2312" w:hAnsi="宋体" w:eastAsia="仿宋_GB2312" w:cs="宋体"/>
          <w:kern w:val="0"/>
          <w:sz w:val="32"/>
          <w:szCs w:val="32"/>
        </w:rPr>
      </w:pPr>
      <w:r>
        <w:rPr>
          <w:rFonts w:hint="eastAsia" w:ascii="仿宋_GB2312" w:hAnsi="宋体" w:eastAsia="仿宋_GB2312" w:cs="宋体"/>
          <w:kern w:val="0"/>
          <w:sz w:val="32"/>
          <w:szCs w:val="32"/>
        </w:rPr>
        <w:t>基金支出包括赠款支出和基础管理费支出。</w:t>
      </w:r>
    </w:p>
    <w:p>
      <w:pPr>
        <w:pStyle w:val="11"/>
        <w:widowControl/>
        <w:spacing w:line="360" w:lineRule="auto"/>
        <w:ind w:firstLine="720" w:firstLineChars="225"/>
        <w:rPr>
          <w:rFonts w:ascii="仿宋_GB2312" w:hAnsi="宋体" w:eastAsia="仿宋_GB2312" w:cs="宋体"/>
          <w:kern w:val="0"/>
          <w:sz w:val="32"/>
          <w:szCs w:val="32"/>
        </w:rPr>
      </w:pPr>
      <w:r>
        <w:rPr>
          <w:rFonts w:hint="eastAsia" w:ascii="仿宋_GB2312" w:hAnsi="宋体" w:eastAsia="仿宋_GB2312" w:cs="宋体"/>
          <w:kern w:val="0"/>
          <w:sz w:val="32"/>
          <w:szCs w:val="32"/>
        </w:rPr>
        <w:t>基金赠款年度支出规模根据基金上年度收益情况和国家应对气候变化实际工作需要确定。</w:t>
      </w:r>
    </w:p>
    <w:p>
      <w:pPr>
        <w:pStyle w:val="11"/>
        <w:widowControl/>
        <w:spacing w:line="360" w:lineRule="auto"/>
        <w:ind w:firstLine="720" w:firstLineChars="225"/>
        <w:rPr>
          <w:rFonts w:ascii="仿宋_GB2312" w:hAnsi="宋体" w:eastAsia="仿宋_GB2312" w:cs="宋体"/>
          <w:kern w:val="0"/>
          <w:sz w:val="32"/>
          <w:szCs w:val="32"/>
        </w:rPr>
      </w:pPr>
      <w:r>
        <w:rPr>
          <w:rFonts w:hint="eastAsia" w:ascii="仿宋_GB2312" w:hAnsi="宋体" w:eastAsia="仿宋_GB2312" w:cs="宋体"/>
          <w:kern w:val="0"/>
          <w:sz w:val="32"/>
          <w:szCs w:val="32"/>
        </w:rPr>
        <w:t>本办法所称基础管理费支出，是指基金筹集、管理、使用过程中的相关管理费用。</w:t>
      </w:r>
    </w:p>
    <w:p>
      <w:pPr>
        <w:pStyle w:val="11"/>
        <w:widowControl/>
        <w:spacing w:line="360" w:lineRule="auto"/>
        <w:ind w:firstLine="720" w:firstLineChars="225"/>
        <w:rPr>
          <w:rFonts w:ascii="仿宋_GB2312" w:hAnsi="宋体" w:eastAsia="仿宋_GB2312" w:cs="宋体"/>
          <w:kern w:val="0"/>
          <w:sz w:val="32"/>
          <w:szCs w:val="32"/>
        </w:rPr>
      </w:pPr>
      <w:r>
        <w:rPr>
          <w:rFonts w:hint="eastAsia" w:ascii="仿宋_GB2312" w:hAnsi="宋体" w:eastAsia="仿宋_GB2312" w:cs="宋体"/>
          <w:kern w:val="0"/>
          <w:sz w:val="32"/>
          <w:szCs w:val="32"/>
        </w:rPr>
        <w:t>支出具体要求在基金财务管理办法中予以明确。</w:t>
      </w:r>
    </w:p>
    <w:p>
      <w:pPr>
        <w:pStyle w:val="11"/>
        <w:numPr>
          <w:ilvl w:val="0"/>
          <w:numId w:val="1"/>
        </w:numPr>
        <w:spacing w:line="360" w:lineRule="auto"/>
        <w:ind w:left="0" w:firstLine="540" w:firstLineChars="0"/>
        <w:rPr>
          <w:rFonts w:ascii="仿宋_GB2312" w:hAnsi="宋体" w:eastAsia="仿宋_GB2312" w:cs="宋体"/>
          <w:kern w:val="0"/>
          <w:sz w:val="32"/>
          <w:szCs w:val="32"/>
        </w:rPr>
      </w:pPr>
      <w:r>
        <w:rPr>
          <w:rFonts w:hint="eastAsia" w:ascii="仿宋_GB2312" w:hAnsi="宋体" w:eastAsia="仿宋_GB2312" w:cs="宋体"/>
          <w:kern w:val="0"/>
          <w:sz w:val="32"/>
          <w:szCs w:val="32"/>
        </w:rPr>
        <w:t>基金管理中心应当对基金使用进行风险管理。</w:t>
      </w:r>
    </w:p>
    <w:p>
      <w:pPr>
        <w:spacing w:line="360" w:lineRule="auto"/>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基金不得用于不符合其宗旨的赞助和捐赠支出，不得从事股票、股票型证券投资基金、房地产以及期货等高风险金融衍生产品投资。</w:t>
      </w:r>
    </w:p>
    <w:p>
      <w:pPr>
        <w:pStyle w:val="11"/>
        <w:numPr>
          <w:ilvl w:val="0"/>
          <w:numId w:val="1"/>
        </w:numPr>
        <w:spacing w:line="360" w:lineRule="auto"/>
        <w:ind w:left="0" w:firstLine="540" w:firstLineChars="0"/>
        <w:rPr>
          <w:rFonts w:ascii="仿宋_GB2312" w:hAnsi="宋体" w:eastAsia="仿宋_GB2312" w:cs="宋体"/>
          <w:kern w:val="0"/>
          <w:sz w:val="32"/>
          <w:szCs w:val="32"/>
        </w:rPr>
      </w:pPr>
      <w:r>
        <w:rPr>
          <w:rFonts w:hint="eastAsia" w:ascii="仿宋_GB2312" w:hAnsi="宋体" w:eastAsia="仿宋_GB2312" w:cs="宋体"/>
          <w:kern w:val="0"/>
          <w:sz w:val="32"/>
          <w:szCs w:val="32"/>
        </w:rPr>
        <w:t>基金与基金管理中心财务应当分别建账管理。</w:t>
      </w:r>
      <w:r>
        <w:rPr>
          <w:rFonts w:hint="eastAsia" w:ascii="仿宋_GB2312" w:hAnsi="宋体" w:eastAsia="仿宋_GB2312" w:cs="宋体"/>
          <w:kern w:val="0"/>
          <w:sz w:val="32"/>
          <w:szCs w:val="32"/>
        </w:rPr>
        <w:br w:type="textWrapping"/>
      </w:r>
      <w:r>
        <w:rPr>
          <w:rFonts w:hint="eastAsia" w:ascii="仿宋_GB2312" w:hAnsi="宋体" w:eastAsia="仿宋_GB2312" w:cs="宋体"/>
          <w:kern w:val="0"/>
          <w:sz w:val="32"/>
          <w:szCs w:val="32"/>
        </w:rPr>
        <w:t>　　财政部负责制定基金财务管理办法，并对基金使用情况和会计记录进行监督检查。</w:t>
      </w:r>
    </w:p>
    <w:p>
      <w:pPr>
        <w:spacing w:line="360" w:lineRule="auto"/>
        <w:jc w:val="center"/>
        <w:rPr>
          <w:rFonts w:ascii="黑体" w:hAnsi="黑体" w:eastAsia="黑体" w:cs="宋体"/>
          <w:b/>
          <w:bCs/>
          <w:kern w:val="0"/>
          <w:sz w:val="32"/>
          <w:szCs w:val="32"/>
        </w:rPr>
      </w:pPr>
    </w:p>
    <w:p>
      <w:pPr>
        <w:spacing w:line="360" w:lineRule="auto"/>
        <w:jc w:val="center"/>
        <w:rPr>
          <w:rFonts w:ascii="黑体" w:hAnsi="黑体" w:eastAsia="黑体" w:cs="宋体"/>
          <w:b/>
          <w:bCs/>
          <w:kern w:val="0"/>
          <w:sz w:val="32"/>
          <w:szCs w:val="32"/>
        </w:rPr>
      </w:pPr>
      <w:r>
        <w:rPr>
          <w:rFonts w:hint="eastAsia" w:ascii="黑体" w:hAnsi="黑体" w:eastAsia="黑体" w:cs="宋体"/>
          <w:b/>
          <w:bCs/>
          <w:kern w:val="0"/>
          <w:sz w:val="32"/>
          <w:szCs w:val="32"/>
        </w:rPr>
        <w:t>第五章　赠款管理</w:t>
      </w:r>
    </w:p>
    <w:p>
      <w:pPr>
        <w:pStyle w:val="11"/>
        <w:numPr>
          <w:ilvl w:val="0"/>
          <w:numId w:val="1"/>
        </w:numPr>
        <w:spacing w:line="360" w:lineRule="auto"/>
        <w:ind w:left="0" w:firstLine="540" w:firstLineChars="0"/>
        <w:rPr>
          <w:rFonts w:ascii="仿宋_GB2312" w:hAnsi="宋体" w:eastAsia="仿宋_GB2312" w:cs="宋体"/>
          <w:kern w:val="0"/>
          <w:sz w:val="32"/>
          <w:szCs w:val="32"/>
        </w:rPr>
      </w:pPr>
      <w:r>
        <w:rPr>
          <w:rFonts w:hint="eastAsia" w:ascii="仿宋_GB2312" w:hAnsi="宋体" w:eastAsia="仿宋_GB2312" w:cs="宋体"/>
          <w:kern w:val="0"/>
          <w:sz w:val="32"/>
          <w:szCs w:val="32"/>
        </w:rPr>
        <w:t>赠款主要用于支持下列事项：</w:t>
      </w:r>
      <w:r>
        <w:rPr>
          <w:rFonts w:hint="eastAsia" w:ascii="仿宋_GB2312" w:hAnsi="宋体" w:eastAsia="仿宋_GB2312" w:cs="宋体"/>
          <w:kern w:val="0"/>
          <w:sz w:val="32"/>
          <w:szCs w:val="32"/>
        </w:rPr>
        <w:br w:type="textWrapping"/>
      </w:r>
      <w:r>
        <w:rPr>
          <w:rFonts w:hint="eastAsia" w:ascii="仿宋_GB2312" w:hAnsi="宋体" w:eastAsia="仿宋_GB2312" w:cs="宋体"/>
          <w:kern w:val="0"/>
          <w:sz w:val="32"/>
          <w:szCs w:val="32"/>
        </w:rPr>
        <w:t>　　（一）与应对气候变化相关的政策研究和学术活动；</w:t>
      </w:r>
      <w:r>
        <w:rPr>
          <w:rFonts w:hint="eastAsia" w:ascii="仿宋_GB2312" w:hAnsi="宋体" w:eastAsia="仿宋_GB2312" w:cs="宋体"/>
          <w:kern w:val="0"/>
          <w:sz w:val="32"/>
          <w:szCs w:val="32"/>
        </w:rPr>
        <w:br w:type="textWrapping"/>
      </w:r>
      <w:r>
        <w:rPr>
          <w:rFonts w:hint="eastAsia" w:ascii="仿宋_GB2312" w:hAnsi="宋体" w:eastAsia="仿宋_GB2312" w:cs="宋体"/>
          <w:kern w:val="0"/>
          <w:sz w:val="32"/>
          <w:szCs w:val="32"/>
        </w:rPr>
        <w:t>　　（二）与应对气候变化相关的国际合作活动；</w:t>
      </w:r>
      <w:r>
        <w:rPr>
          <w:rFonts w:hint="eastAsia" w:ascii="仿宋_GB2312" w:hAnsi="宋体" w:eastAsia="仿宋_GB2312" w:cs="宋体"/>
          <w:kern w:val="0"/>
          <w:sz w:val="32"/>
          <w:szCs w:val="32"/>
        </w:rPr>
        <w:br w:type="textWrapping"/>
      </w:r>
      <w:r>
        <w:rPr>
          <w:rFonts w:hint="eastAsia" w:ascii="仿宋_GB2312" w:hAnsi="宋体" w:eastAsia="仿宋_GB2312" w:cs="宋体"/>
          <w:kern w:val="0"/>
          <w:sz w:val="32"/>
          <w:szCs w:val="32"/>
        </w:rPr>
        <w:t>　　（三）旨在加强应对气候变化能力建设的培训活动；</w:t>
      </w:r>
      <w:r>
        <w:rPr>
          <w:rFonts w:hint="eastAsia" w:ascii="仿宋_GB2312" w:hAnsi="宋体" w:eastAsia="仿宋_GB2312" w:cs="宋体"/>
          <w:kern w:val="0"/>
          <w:sz w:val="32"/>
          <w:szCs w:val="32"/>
        </w:rPr>
        <w:br w:type="textWrapping"/>
      </w:r>
      <w:r>
        <w:rPr>
          <w:rFonts w:hint="eastAsia" w:ascii="仿宋_GB2312" w:hAnsi="宋体" w:eastAsia="仿宋_GB2312" w:cs="宋体"/>
          <w:kern w:val="0"/>
          <w:sz w:val="32"/>
          <w:szCs w:val="32"/>
        </w:rPr>
        <w:t>　　（四）旨在提高公众应对气候变化意识的宣传、教育活动；</w:t>
      </w:r>
      <w:r>
        <w:rPr>
          <w:rFonts w:hint="eastAsia" w:ascii="仿宋_GB2312" w:hAnsi="宋体" w:eastAsia="仿宋_GB2312" w:cs="宋体"/>
          <w:kern w:val="0"/>
          <w:sz w:val="32"/>
          <w:szCs w:val="32"/>
        </w:rPr>
        <w:br w:type="textWrapping"/>
      </w:r>
      <w:r>
        <w:rPr>
          <w:rFonts w:hint="eastAsia" w:ascii="仿宋_GB2312" w:hAnsi="宋体" w:eastAsia="仿宋_GB2312" w:cs="宋体"/>
          <w:kern w:val="0"/>
          <w:sz w:val="32"/>
          <w:szCs w:val="32"/>
        </w:rPr>
        <w:t>　　（五）符合基金宗旨的其他事项。</w:t>
      </w:r>
    </w:p>
    <w:p>
      <w:pPr>
        <w:pStyle w:val="11"/>
        <w:numPr>
          <w:ilvl w:val="0"/>
          <w:numId w:val="1"/>
        </w:numPr>
        <w:spacing w:line="360" w:lineRule="auto"/>
        <w:ind w:left="0" w:firstLine="540" w:firstLineChars="0"/>
        <w:rPr>
          <w:rFonts w:ascii="仿宋_GB2312" w:hAnsi="宋体" w:eastAsia="仿宋_GB2312" w:cs="宋体"/>
          <w:kern w:val="0"/>
          <w:sz w:val="32"/>
          <w:szCs w:val="32"/>
        </w:rPr>
      </w:pPr>
      <w:r>
        <w:rPr>
          <w:rFonts w:hint="eastAsia" w:ascii="仿宋_GB2312" w:hAnsi="宋体" w:eastAsia="仿宋_GB2312" w:cs="宋体"/>
          <w:kern w:val="0"/>
          <w:sz w:val="32"/>
          <w:szCs w:val="32"/>
        </w:rPr>
        <w:t>基金管理中心负责按照基金政策指导委员会确定的支持方向、领域和规模等，组织赠款项目征集、评审。</w:t>
      </w:r>
    </w:p>
    <w:p>
      <w:pPr>
        <w:pStyle w:val="11"/>
        <w:numPr>
          <w:ilvl w:val="0"/>
          <w:numId w:val="1"/>
        </w:numPr>
        <w:spacing w:line="360" w:lineRule="auto"/>
        <w:ind w:left="0" w:firstLine="540" w:firstLineChars="0"/>
        <w:rPr>
          <w:rFonts w:ascii="仿宋_GB2312" w:hAnsi="宋体" w:eastAsia="仿宋_GB2312" w:cs="宋体"/>
          <w:kern w:val="0"/>
          <w:sz w:val="32"/>
          <w:szCs w:val="32"/>
        </w:rPr>
      </w:pPr>
      <w:r>
        <w:rPr>
          <w:rFonts w:hint="eastAsia" w:ascii="仿宋_GB2312" w:hAnsi="宋体" w:eastAsia="仿宋_GB2312" w:cs="宋体"/>
          <w:kern w:val="0"/>
          <w:sz w:val="32"/>
          <w:szCs w:val="32"/>
        </w:rPr>
        <w:t>赠款项目申报单位应当是与应对气候变化工作相关的国务院有关部委和机构、省级政府部门和机构（以下简称项目申报单位）。</w:t>
      </w:r>
    </w:p>
    <w:p>
      <w:pPr>
        <w:pStyle w:val="11"/>
        <w:numPr>
          <w:ilvl w:val="0"/>
          <w:numId w:val="1"/>
        </w:numPr>
        <w:spacing w:line="360" w:lineRule="auto"/>
        <w:ind w:left="0" w:firstLine="540" w:firstLineChars="0"/>
        <w:rPr>
          <w:rFonts w:ascii="仿宋_GB2312" w:hAnsi="宋体" w:eastAsia="仿宋_GB2312" w:cs="宋体"/>
          <w:kern w:val="0"/>
          <w:sz w:val="32"/>
          <w:szCs w:val="32"/>
        </w:rPr>
      </w:pPr>
      <w:r>
        <w:rPr>
          <w:rFonts w:hint="eastAsia" w:ascii="仿宋_GB2312" w:hAnsi="宋体" w:eastAsia="仿宋_GB2312" w:cs="宋体"/>
          <w:kern w:val="0"/>
          <w:sz w:val="32"/>
          <w:szCs w:val="32"/>
        </w:rPr>
        <w:t>赠款项目的申报、评审、管理和考核验收等应按照基金赠款管理有关规定进行。</w:t>
      </w:r>
    </w:p>
    <w:p>
      <w:pPr>
        <w:pStyle w:val="11"/>
        <w:spacing w:line="360" w:lineRule="auto"/>
        <w:ind w:left="540" w:firstLine="0" w:firstLineChars="0"/>
        <w:rPr>
          <w:rFonts w:ascii="仿宋_GB2312" w:hAnsi="宋体" w:eastAsia="仿宋_GB2312" w:cs="宋体"/>
          <w:kern w:val="0"/>
          <w:sz w:val="32"/>
          <w:szCs w:val="32"/>
        </w:rPr>
      </w:pPr>
      <w:r>
        <w:rPr>
          <w:rFonts w:hint="eastAsia" w:ascii="仿宋_GB2312" w:hAnsi="宋体" w:eastAsia="仿宋_GB2312" w:cs="宋体"/>
          <w:kern w:val="0"/>
          <w:sz w:val="32"/>
          <w:szCs w:val="32"/>
        </w:rPr>
        <w:t>基金赠款管理规定由生态环境部和财政部另行制定。</w:t>
      </w:r>
    </w:p>
    <w:p>
      <w:pPr>
        <w:pStyle w:val="11"/>
        <w:spacing w:line="360" w:lineRule="auto"/>
        <w:ind w:left="540" w:firstLine="0" w:firstLineChars="0"/>
        <w:rPr>
          <w:rFonts w:ascii="仿宋_GB2312" w:hAnsi="宋体" w:eastAsia="仿宋_GB2312" w:cs="宋体"/>
          <w:kern w:val="0"/>
          <w:sz w:val="32"/>
          <w:szCs w:val="32"/>
        </w:rPr>
      </w:pPr>
    </w:p>
    <w:p>
      <w:pPr>
        <w:spacing w:line="360" w:lineRule="auto"/>
        <w:jc w:val="center"/>
        <w:rPr>
          <w:rFonts w:ascii="黑体" w:hAnsi="黑体" w:eastAsia="黑体" w:cs="宋体"/>
          <w:b/>
          <w:bCs/>
          <w:kern w:val="0"/>
          <w:sz w:val="32"/>
          <w:szCs w:val="32"/>
        </w:rPr>
      </w:pPr>
      <w:r>
        <w:rPr>
          <w:rFonts w:hint="eastAsia" w:ascii="黑体" w:hAnsi="黑体" w:eastAsia="黑体" w:cs="宋体"/>
          <w:b/>
          <w:bCs/>
          <w:kern w:val="0"/>
          <w:sz w:val="32"/>
          <w:szCs w:val="32"/>
        </w:rPr>
        <w:t>第六章　有偿使用管理</w:t>
      </w:r>
    </w:p>
    <w:p>
      <w:pPr>
        <w:pStyle w:val="11"/>
        <w:numPr>
          <w:ilvl w:val="0"/>
          <w:numId w:val="1"/>
        </w:numPr>
        <w:spacing w:line="360" w:lineRule="auto"/>
        <w:ind w:left="0" w:firstLine="540" w:firstLineChars="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有偿使用主要支持以下方面：</w:t>
      </w:r>
    </w:p>
    <w:p>
      <w:pPr>
        <w:pStyle w:val="11"/>
        <w:numPr>
          <w:ilvl w:val="0"/>
          <w:numId w:val="2"/>
        </w:numPr>
        <w:spacing w:line="360" w:lineRule="auto"/>
        <w:ind w:firstLineChars="0"/>
        <w:rPr>
          <w:rFonts w:ascii="仿宋_GB2312" w:hAnsi="宋体" w:eastAsia="仿宋_GB2312" w:cs="宋体"/>
          <w:kern w:val="0"/>
          <w:sz w:val="32"/>
          <w:szCs w:val="32"/>
        </w:rPr>
      </w:pPr>
      <w:r>
        <w:rPr>
          <w:rFonts w:hint="eastAsia" w:ascii="仿宋_GB2312" w:hAnsi="宋体" w:eastAsia="仿宋_GB2312" w:cs="宋体"/>
          <w:kern w:val="0"/>
          <w:sz w:val="32"/>
          <w:szCs w:val="32"/>
        </w:rPr>
        <w:t>国家有关生态保护重大决策部署的落实；</w:t>
      </w:r>
    </w:p>
    <w:p>
      <w:pPr>
        <w:pStyle w:val="11"/>
        <w:numPr>
          <w:ilvl w:val="0"/>
          <w:numId w:val="2"/>
        </w:numPr>
        <w:spacing w:line="360" w:lineRule="auto"/>
        <w:ind w:firstLineChars="0"/>
        <w:rPr>
          <w:rFonts w:ascii="仿宋_GB2312" w:hAnsi="宋体" w:eastAsia="仿宋_GB2312" w:cs="宋体"/>
          <w:kern w:val="0"/>
          <w:sz w:val="32"/>
          <w:szCs w:val="32"/>
        </w:rPr>
      </w:pPr>
      <w:r>
        <w:rPr>
          <w:rFonts w:hint="eastAsia" w:ascii="仿宋_GB2312" w:hAnsi="宋体" w:eastAsia="仿宋_GB2312" w:cs="宋体"/>
          <w:kern w:val="0"/>
          <w:sz w:val="32"/>
          <w:szCs w:val="32"/>
        </w:rPr>
        <w:t>有利于产生应对气候变化效益的项目投资活动；</w:t>
      </w:r>
    </w:p>
    <w:p>
      <w:pPr>
        <w:pStyle w:val="11"/>
        <w:numPr>
          <w:ilvl w:val="0"/>
          <w:numId w:val="2"/>
        </w:numPr>
        <w:spacing w:line="360" w:lineRule="auto"/>
        <w:ind w:firstLineChars="0"/>
        <w:rPr>
          <w:rFonts w:ascii="仿宋_GB2312" w:hAnsi="宋体" w:eastAsia="仿宋_GB2312" w:cs="宋体"/>
          <w:kern w:val="0"/>
          <w:sz w:val="32"/>
          <w:szCs w:val="32"/>
        </w:rPr>
      </w:pPr>
      <w:r>
        <w:rPr>
          <w:rFonts w:hint="eastAsia" w:ascii="仿宋_GB2312" w:hAnsi="宋体" w:eastAsia="仿宋_GB2312" w:cs="宋体"/>
          <w:kern w:val="0"/>
          <w:sz w:val="32"/>
          <w:szCs w:val="32"/>
        </w:rPr>
        <w:t>符合基金宗旨的其他项目。</w:t>
      </w:r>
    </w:p>
    <w:p>
      <w:pPr>
        <w:pStyle w:val="11"/>
        <w:numPr>
          <w:ilvl w:val="0"/>
          <w:numId w:val="1"/>
        </w:numPr>
        <w:spacing w:line="360" w:lineRule="auto"/>
        <w:ind w:left="0" w:firstLine="540" w:firstLineChars="0"/>
        <w:rPr>
          <w:rFonts w:ascii="仿宋_GB2312" w:hAnsi="宋体" w:eastAsia="仿宋_GB2312" w:cs="宋体"/>
          <w:kern w:val="0"/>
          <w:sz w:val="32"/>
          <w:szCs w:val="32"/>
        </w:rPr>
      </w:pPr>
      <w:r>
        <w:rPr>
          <w:rFonts w:hint="eastAsia" w:ascii="仿宋_GB2312" w:hAnsi="宋体" w:eastAsia="仿宋_GB2312" w:cs="宋体"/>
          <w:kern w:val="0"/>
          <w:sz w:val="32"/>
          <w:szCs w:val="32"/>
        </w:rPr>
        <w:t>基金有偿使用主要采取以下方式：</w:t>
      </w:r>
      <w:r>
        <w:rPr>
          <w:rFonts w:hint="eastAsia" w:ascii="仿宋_GB2312" w:hAnsi="宋体" w:eastAsia="仿宋_GB2312" w:cs="宋体"/>
          <w:kern w:val="0"/>
          <w:sz w:val="32"/>
          <w:szCs w:val="32"/>
        </w:rPr>
        <w:br w:type="textWrapping"/>
      </w:r>
      <w:r>
        <w:rPr>
          <w:rFonts w:hint="eastAsia" w:ascii="仿宋_GB2312" w:hAnsi="宋体" w:eastAsia="仿宋_GB2312" w:cs="宋体"/>
          <w:kern w:val="0"/>
          <w:sz w:val="32"/>
          <w:szCs w:val="32"/>
        </w:rPr>
        <w:t>　　（一）债权投资；</w:t>
      </w:r>
      <w:r>
        <w:rPr>
          <w:rFonts w:hint="eastAsia" w:ascii="仿宋_GB2312" w:hAnsi="宋体" w:eastAsia="仿宋_GB2312" w:cs="宋体"/>
          <w:kern w:val="0"/>
          <w:sz w:val="32"/>
          <w:szCs w:val="32"/>
        </w:rPr>
        <w:br w:type="textWrapping"/>
      </w:r>
      <w:r>
        <w:rPr>
          <w:rFonts w:hint="eastAsia" w:ascii="仿宋_GB2312" w:hAnsi="宋体" w:eastAsia="仿宋_GB2312" w:cs="宋体"/>
          <w:kern w:val="0"/>
          <w:sz w:val="32"/>
          <w:szCs w:val="32"/>
        </w:rPr>
        <w:t>　　（二）股权投资；</w:t>
      </w:r>
      <w:r>
        <w:rPr>
          <w:rFonts w:hint="eastAsia" w:ascii="仿宋_GB2312" w:hAnsi="宋体" w:eastAsia="仿宋_GB2312" w:cs="宋体"/>
          <w:kern w:val="0"/>
          <w:sz w:val="32"/>
          <w:szCs w:val="32"/>
        </w:rPr>
        <w:br w:type="textWrapping"/>
      </w:r>
      <w:r>
        <w:rPr>
          <w:rFonts w:hint="eastAsia" w:ascii="仿宋_GB2312" w:hAnsi="宋体" w:eastAsia="仿宋_GB2312" w:cs="宋体"/>
          <w:kern w:val="0"/>
          <w:sz w:val="32"/>
          <w:szCs w:val="32"/>
        </w:rPr>
        <w:t>　　（三）融资性担保；</w:t>
      </w:r>
      <w:r>
        <w:rPr>
          <w:rFonts w:hint="eastAsia" w:ascii="仿宋_GB2312" w:hAnsi="宋体" w:eastAsia="仿宋_GB2312" w:cs="宋体"/>
          <w:kern w:val="0"/>
          <w:sz w:val="32"/>
          <w:szCs w:val="32"/>
        </w:rPr>
        <w:br w:type="textWrapping"/>
      </w:r>
      <w:r>
        <w:rPr>
          <w:rFonts w:hint="eastAsia" w:ascii="仿宋_GB2312" w:hAnsi="宋体" w:eastAsia="仿宋_GB2312" w:cs="宋体"/>
          <w:kern w:val="0"/>
          <w:sz w:val="32"/>
          <w:szCs w:val="32"/>
        </w:rPr>
        <w:t>　　（四）符合政策规定的其他方式。</w:t>
      </w:r>
    </w:p>
    <w:p>
      <w:pPr>
        <w:pStyle w:val="11"/>
        <w:numPr>
          <w:ilvl w:val="0"/>
          <w:numId w:val="1"/>
        </w:numPr>
        <w:spacing w:line="360" w:lineRule="auto"/>
        <w:ind w:left="0" w:firstLine="540" w:firstLineChars="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基金有偿使用依托专业机构开展，实行专业化管理。基金管理中心履行基金管理人职责，负责基金有偿使用组织与监督。</w:t>
      </w:r>
    </w:p>
    <w:p>
      <w:pPr>
        <w:spacing w:line="360" w:lineRule="auto"/>
        <w:ind w:firstLine="480" w:firstLineChars="15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基金有偿使用形成的各种资产及权益应当按照国家有关财务规章制度进行管理。</w:t>
      </w:r>
    </w:p>
    <w:p>
      <w:pPr>
        <w:pStyle w:val="11"/>
        <w:numPr>
          <w:ilvl w:val="0"/>
          <w:numId w:val="1"/>
        </w:numPr>
        <w:spacing w:line="360" w:lineRule="auto"/>
        <w:ind w:left="0" w:firstLine="540" w:firstLineChars="0"/>
        <w:rPr>
          <w:rFonts w:ascii="仿宋_GB2312" w:hAnsi="宋体" w:eastAsia="仿宋_GB2312" w:cs="宋体"/>
          <w:color w:val="FF0000"/>
          <w:kern w:val="0"/>
          <w:sz w:val="32"/>
          <w:szCs w:val="32"/>
        </w:rPr>
      </w:pPr>
      <w:r>
        <w:rPr>
          <w:rFonts w:hint="eastAsia" w:ascii="仿宋_GB2312" w:hAnsi="宋体" w:eastAsia="仿宋_GB2312" w:cs="宋体"/>
          <w:kern w:val="0"/>
          <w:sz w:val="32"/>
          <w:szCs w:val="32"/>
        </w:rPr>
        <w:t>基金有偿使用的组织与开展应按照基金有偿使用相关管理规定执行。</w:t>
      </w:r>
    </w:p>
    <w:p>
      <w:pPr>
        <w:pStyle w:val="11"/>
        <w:spacing w:line="360" w:lineRule="auto"/>
        <w:ind w:left="540" w:firstLine="0" w:firstLineChars="0"/>
        <w:rPr>
          <w:rFonts w:ascii="仿宋_GB2312" w:hAnsi="宋体" w:eastAsia="仿宋_GB2312" w:cs="宋体"/>
          <w:color w:val="FF0000"/>
          <w:kern w:val="0"/>
          <w:sz w:val="32"/>
          <w:szCs w:val="32"/>
        </w:rPr>
      </w:pPr>
      <w:r>
        <w:rPr>
          <w:rFonts w:hint="eastAsia" w:ascii="仿宋_GB2312" w:hAnsi="宋体" w:eastAsia="仿宋_GB2312" w:cs="宋体"/>
          <w:kern w:val="0"/>
          <w:sz w:val="32"/>
          <w:szCs w:val="32"/>
        </w:rPr>
        <w:t>有偿使用管理规定由财政部另行制定。</w:t>
      </w:r>
    </w:p>
    <w:p>
      <w:pPr>
        <w:pStyle w:val="11"/>
        <w:spacing w:line="360" w:lineRule="auto"/>
        <w:ind w:firstLine="538" w:firstLineChars="168"/>
        <w:rPr>
          <w:rFonts w:ascii="仿宋_GB2312" w:hAnsi="宋体" w:eastAsia="仿宋_GB2312" w:cs="宋体"/>
          <w:kern w:val="0"/>
          <w:sz w:val="32"/>
          <w:szCs w:val="32"/>
        </w:rPr>
      </w:pPr>
    </w:p>
    <w:p>
      <w:pPr>
        <w:spacing w:line="360" w:lineRule="auto"/>
        <w:jc w:val="center"/>
        <w:rPr>
          <w:rFonts w:ascii="黑体" w:hAnsi="黑体" w:eastAsia="黑体" w:cs="宋体"/>
          <w:b/>
          <w:bCs/>
          <w:kern w:val="0"/>
          <w:sz w:val="32"/>
          <w:szCs w:val="32"/>
        </w:rPr>
      </w:pPr>
      <w:r>
        <w:rPr>
          <w:rFonts w:hint="eastAsia" w:ascii="黑体" w:hAnsi="黑体" w:eastAsia="黑体" w:cs="宋体"/>
          <w:b/>
          <w:bCs/>
          <w:kern w:val="0"/>
          <w:sz w:val="32"/>
          <w:szCs w:val="32"/>
        </w:rPr>
        <w:t>第七章　附　　则</w:t>
      </w:r>
    </w:p>
    <w:p>
      <w:pPr>
        <w:pStyle w:val="11"/>
        <w:numPr>
          <w:ilvl w:val="0"/>
          <w:numId w:val="1"/>
        </w:numPr>
        <w:spacing w:line="360" w:lineRule="auto"/>
        <w:ind w:left="0" w:firstLine="540" w:firstLineChars="0"/>
        <w:rPr>
          <w:rFonts w:ascii="仿宋_GB2312" w:hAnsi="宋体" w:eastAsia="仿宋_GB2312" w:cs="宋体"/>
          <w:kern w:val="0"/>
          <w:sz w:val="32"/>
          <w:szCs w:val="32"/>
        </w:rPr>
      </w:pPr>
      <w:r>
        <w:rPr>
          <w:rFonts w:hint="eastAsia" w:ascii="仿宋_GB2312" w:hAnsi="宋体" w:eastAsia="仿宋_GB2312" w:cs="宋体"/>
          <w:kern w:val="0"/>
          <w:sz w:val="32"/>
          <w:szCs w:val="32"/>
        </w:rPr>
        <w:t>基金及其管理中心应当接受审计机构的监督。</w:t>
      </w:r>
    </w:p>
    <w:p>
      <w:pPr>
        <w:pStyle w:val="11"/>
        <w:numPr>
          <w:ilvl w:val="0"/>
          <w:numId w:val="1"/>
        </w:numPr>
        <w:spacing w:line="360" w:lineRule="auto"/>
        <w:ind w:left="0" w:firstLine="540" w:firstLineChars="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基金的管理机构及其工作人员在基金赠款项目和有偿使用项目管理及其他重大业务中，存在违反本办法规定的行为，以及其他滥用职权、玩忽职守、徇私舞弊等违法违纪行为的，按照《中华人民共和国预算法》、《中华人民共和国公务员法》、《中华人民共和国行政监察法》、《财政违法行为处罚处分条例》等国家有关规定追究相应责任；涉嫌犯罪的，依法移送司法机关处理。</w:t>
      </w:r>
    </w:p>
    <w:p>
      <w:pPr>
        <w:pStyle w:val="11"/>
        <w:numPr>
          <w:ilvl w:val="0"/>
          <w:numId w:val="1"/>
        </w:numPr>
        <w:spacing w:line="360" w:lineRule="auto"/>
        <w:ind w:left="0" w:firstLine="540" w:firstLineChars="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本办法自发布之日起施行，原《中国清洁发展机制基金管理办法》（财政部第59号令）同时废止。</w:t>
      </w:r>
    </w:p>
    <w:p>
      <w:pPr>
        <w:pStyle w:val="11"/>
        <w:spacing w:line="360" w:lineRule="auto"/>
        <w:ind w:left="540" w:firstLine="0" w:firstLineChars="0"/>
        <w:rPr>
          <w:rFonts w:ascii="仿宋_GB2312" w:hAnsi="宋体" w:eastAsia="仿宋_GB2312" w:cs="宋体"/>
          <w:kern w:val="0"/>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0002EFF" w:usb1="C000247B" w:usb2="00000009" w:usb3="00000000" w:csb0="200001FF" w:csb1="00000000"/>
  </w:font>
  <w:font w:name="仿宋_GB2312">
    <w:altName w:val="仿宋"/>
    <w:panose1 w:val="02010609030101010101"/>
    <w:charset w:val="86"/>
    <w:family w:val="swiss"/>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黑体">
    <w:panose1 w:val="02010609060101010101"/>
    <w:charset w:val="86"/>
    <w:family w:val="swiss"/>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1167628"/>
    </w:sdtPr>
    <w:sdtContent>
      <w:p>
        <w:pPr>
          <w:pStyle w:val="5"/>
          <w:jc w:val="center"/>
        </w:pPr>
        <w:r>
          <w:fldChar w:fldCharType="begin"/>
        </w:r>
        <w:r>
          <w:instrText xml:space="preserve"> PAGE   \* MERGEFORMAT </w:instrText>
        </w:r>
        <w:r>
          <w:fldChar w:fldCharType="separate"/>
        </w:r>
        <w:r>
          <w:rPr>
            <w:lang w:val="zh-CN"/>
          </w:rPr>
          <w:t>7</w:t>
        </w:r>
        <w: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332102219">
    <w:nsid w:val="4F66444B"/>
    <w:multiLevelType w:val="multilevel"/>
    <w:tmpl w:val="4F66444B"/>
    <w:lvl w:ilvl="0" w:tentative="1">
      <w:start w:val="1"/>
      <w:numFmt w:val="japaneseCounting"/>
      <w:lvlText w:val="第%1条"/>
      <w:lvlJc w:val="left"/>
      <w:pPr>
        <w:ind w:left="3385" w:hanging="975"/>
      </w:pPr>
      <w:rPr>
        <w:rFonts w:hint="default"/>
        <w:b/>
        <w:color w:val="auto"/>
        <w:sz w:val="30"/>
        <w:szCs w:val="30"/>
        <w:lang w:val="en-US"/>
      </w:rPr>
    </w:lvl>
    <w:lvl w:ilvl="1" w:tentative="1">
      <w:start w:val="1"/>
      <w:numFmt w:val="lowerLetter"/>
      <w:lvlText w:val="%2)"/>
      <w:lvlJc w:val="left"/>
      <w:pPr>
        <w:ind w:left="-582" w:hanging="420"/>
      </w:pPr>
    </w:lvl>
    <w:lvl w:ilvl="2" w:tentative="1">
      <w:start w:val="1"/>
      <w:numFmt w:val="lowerRoman"/>
      <w:lvlText w:val="%3."/>
      <w:lvlJc w:val="right"/>
      <w:pPr>
        <w:ind w:left="-162" w:hanging="420"/>
      </w:pPr>
    </w:lvl>
    <w:lvl w:ilvl="3" w:tentative="1">
      <w:start w:val="1"/>
      <w:numFmt w:val="decimal"/>
      <w:lvlText w:val="%4."/>
      <w:lvlJc w:val="left"/>
      <w:pPr>
        <w:ind w:left="258" w:hanging="420"/>
      </w:pPr>
    </w:lvl>
    <w:lvl w:ilvl="4" w:tentative="1">
      <w:start w:val="1"/>
      <w:numFmt w:val="lowerLetter"/>
      <w:lvlText w:val="%5)"/>
      <w:lvlJc w:val="left"/>
      <w:pPr>
        <w:ind w:left="678" w:hanging="420"/>
      </w:pPr>
    </w:lvl>
    <w:lvl w:ilvl="5" w:tentative="1">
      <w:start w:val="1"/>
      <w:numFmt w:val="lowerRoman"/>
      <w:lvlText w:val="%6."/>
      <w:lvlJc w:val="right"/>
      <w:pPr>
        <w:ind w:left="1098" w:hanging="420"/>
      </w:pPr>
    </w:lvl>
    <w:lvl w:ilvl="6" w:tentative="1">
      <w:start w:val="1"/>
      <w:numFmt w:val="decimal"/>
      <w:lvlText w:val="%7."/>
      <w:lvlJc w:val="left"/>
      <w:pPr>
        <w:ind w:left="1518" w:hanging="420"/>
      </w:pPr>
    </w:lvl>
    <w:lvl w:ilvl="7" w:tentative="1">
      <w:start w:val="1"/>
      <w:numFmt w:val="lowerLetter"/>
      <w:lvlText w:val="%8)"/>
      <w:lvlJc w:val="left"/>
      <w:pPr>
        <w:ind w:left="1938" w:hanging="420"/>
      </w:pPr>
    </w:lvl>
    <w:lvl w:ilvl="8" w:tentative="1">
      <w:start w:val="1"/>
      <w:numFmt w:val="lowerRoman"/>
      <w:lvlText w:val="%9."/>
      <w:lvlJc w:val="right"/>
      <w:pPr>
        <w:ind w:left="2358" w:hanging="420"/>
      </w:pPr>
    </w:lvl>
  </w:abstractNum>
  <w:abstractNum w:abstractNumId="19937078">
    <w:nsid w:val="01303736"/>
    <w:multiLevelType w:val="multilevel"/>
    <w:tmpl w:val="01303736"/>
    <w:lvl w:ilvl="0" w:tentative="1">
      <w:start w:val="1"/>
      <w:numFmt w:val="japaneseCounting"/>
      <w:lvlText w:val="（%1）"/>
      <w:lvlJc w:val="left"/>
      <w:pPr>
        <w:ind w:left="1665" w:hanging="1080"/>
      </w:pPr>
      <w:rPr>
        <w:rFonts w:hint="default"/>
        <w:lang w:val="en-US"/>
      </w:rPr>
    </w:lvl>
    <w:lvl w:ilvl="1" w:tentative="1">
      <w:start w:val="1"/>
      <w:numFmt w:val="lowerLetter"/>
      <w:lvlText w:val="%2)"/>
      <w:lvlJc w:val="left"/>
      <w:pPr>
        <w:ind w:left="1425" w:hanging="420"/>
      </w:pPr>
    </w:lvl>
    <w:lvl w:ilvl="2" w:tentative="1">
      <w:start w:val="1"/>
      <w:numFmt w:val="lowerRoman"/>
      <w:lvlText w:val="%3."/>
      <w:lvlJc w:val="right"/>
      <w:pPr>
        <w:ind w:left="1845" w:hanging="420"/>
      </w:pPr>
    </w:lvl>
    <w:lvl w:ilvl="3" w:tentative="1">
      <w:start w:val="1"/>
      <w:numFmt w:val="decimal"/>
      <w:lvlText w:val="%4."/>
      <w:lvlJc w:val="left"/>
      <w:pPr>
        <w:ind w:left="2265" w:hanging="420"/>
      </w:pPr>
    </w:lvl>
    <w:lvl w:ilvl="4" w:tentative="1">
      <w:start w:val="1"/>
      <w:numFmt w:val="lowerLetter"/>
      <w:lvlText w:val="%5)"/>
      <w:lvlJc w:val="left"/>
      <w:pPr>
        <w:ind w:left="2685" w:hanging="420"/>
      </w:pPr>
    </w:lvl>
    <w:lvl w:ilvl="5" w:tentative="1">
      <w:start w:val="1"/>
      <w:numFmt w:val="lowerRoman"/>
      <w:lvlText w:val="%6."/>
      <w:lvlJc w:val="right"/>
      <w:pPr>
        <w:ind w:left="3105" w:hanging="420"/>
      </w:pPr>
    </w:lvl>
    <w:lvl w:ilvl="6" w:tentative="1">
      <w:start w:val="1"/>
      <w:numFmt w:val="decimal"/>
      <w:lvlText w:val="%7."/>
      <w:lvlJc w:val="left"/>
      <w:pPr>
        <w:ind w:left="3525" w:hanging="420"/>
      </w:pPr>
    </w:lvl>
    <w:lvl w:ilvl="7" w:tentative="1">
      <w:start w:val="1"/>
      <w:numFmt w:val="lowerLetter"/>
      <w:lvlText w:val="%8)"/>
      <w:lvlJc w:val="left"/>
      <w:pPr>
        <w:ind w:left="3945" w:hanging="420"/>
      </w:pPr>
    </w:lvl>
    <w:lvl w:ilvl="8" w:tentative="1">
      <w:start w:val="1"/>
      <w:numFmt w:val="lowerRoman"/>
      <w:lvlText w:val="%9."/>
      <w:lvlJc w:val="right"/>
      <w:pPr>
        <w:ind w:left="4365" w:hanging="420"/>
      </w:pPr>
    </w:lvl>
  </w:abstractNum>
  <w:num w:numId="1">
    <w:abstractNumId w:val="1332102219"/>
  </w:num>
  <w:num w:numId="2">
    <w:abstractNumId w:val="1993707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readOnly"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EC3"/>
    <w:rsid w:val="000109FA"/>
    <w:rsid w:val="00027625"/>
    <w:rsid w:val="00044904"/>
    <w:rsid w:val="00052368"/>
    <w:rsid w:val="000612E2"/>
    <w:rsid w:val="0007513C"/>
    <w:rsid w:val="00081068"/>
    <w:rsid w:val="00087814"/>
    <w:rsid w:val="000938D5"/>
    <w:rsid w:val="000A6D25"/>
    <w:rsid w:val="000B78CB"/>
    <w:rsid w:val="000E7E28"/>
    <w:rsid w:val="000F4919"/>
    <w:rsid w:val="000F62AF"/>
    <w:rsid w:val="00101B3F"/>
    <w:rsid w:val="001065F0"/>
    <w:rsid w:val="0012100A"/>
    <w:rsid w:val="00127786"/>
    <w:rsid w:val="0013635D"/>
    <w:rsid w:val="001410E1"/>
    <w:rsid w:val="0017304A"/>
    <w:rsid w:val="00175301"/>
    <w:rsid w:val="00184F05"/>
    <w:rsid w:val="001B04F3"/>
    <w:rsid w:val="001B16B7"/>
    <w:rsid w:val="001B2929"/>
    <w:rsid w:val="001B4A32"/>
    <w:rsid w:val="001B5542"/>
    <w:rsid w:val="001D2FA1"/>
    <w:rsid w:val="001F14A7"/>
    <w:rsid w:val="00240A7D"/>
    <w:rsid w:val="0025322C"/>
    <w:rsid w:val="0025786B"/>
    <w:rsid w:val="00275D50"/>
    <w:rsid w:val="002E06E0"/>
    <w:rsid w:val="002E43F0"/>
    <w:rsid w:val="00312C91"/>
    <w:rsid w:val="00342A65"/>
    <w:rsid w:val="00345312"/>
    <w:rsid w:val="00347616"/>
    <w:rsid w:val="0035113A"/>
    <w:rsid w:val="00352643"/>
    <w:rsid w:val="0035413F"/>
    <w:rsid w:val="00366A9A"/>
    <w:rsid w:val="00370195"/>
    <w:rsid w:val="00370F3B"/>
    <w:rsid w:val="00375171"/>
    <w:rsid w:val="00380685"/>
    <w:rsid w:val="003945A8"/>
    <w:rsid w:val="003D1598"/>
    <w:rsid w:val="003E6731"/>
    <w:rsid w:val="003F10FA"/>
    <w:rsid w:val="00411FEB"/>
    <w:rsid w:val="00433233"/>
    <w:rsid w:val="00442581"/>
    <w:rsid w:val="0044522D"/>
    <w:rsid w:val="00457EC3"/>
    <w:rsid w:val="004768A9"/>
    <w:rsid w:val="00477DCA"/>
    <w:rsid w:val="004A1C65"/>
    <w:rsid w:val="004A5704"/>
    <w:rsid w:val="004B214F"/>
    <w:rsid w:val="004B44D4"/>
    <w:rsid w:val="004B597A"/>
    <w:rsid w:val="004C5496"/>
    <w:rsid w:val="004D0F03"/>
    <w:rsid w:val="004E5E2E"/>
    <w:rsid w:val="004F4191"/>
    <w:rsid w:val="005479E9"/>
    <w:rsid w:val="00561303"/>
    <w:rsid w:val="00576501"/>
    <w:rsid w:val="00581F0F"/>
    <w:rsid w:val="005928C9"/>
    <w:rsid w:val="005A17DB"/>
    <w:rsid w:val="005A7AC6"/>
    <w:rsid w:val="005B1846"/>
    <w:rsid w:val="005E240E"/>
    <w:rsid w:val="005E575A"/>
    <w:rsid w:val="005F2F25"/>
    <w:rsid w:val="006048CD"/>
    <w:rsid w:val="00606196"/>
    <w:rsid w:val="00607D46"/>
    <w:rsid w:val="00610AB9"/>
    <w:rsid w:val="00622D7D"/>
    <w:rsid w:val="00640D46"/>
    <w:rsid w:val="00645B34"/>
    <w:rsid w:val="00646453"/>
    <w:rsid w:val="00646C2A"/>
    <w:rsid w:val="00665A97"/>
    <w:rsid w:val="006820E4"/>
    <w:rsid w:val="006904A6"/>
    <w:rsid w:val="00691961"/>
    <w:rsid w:val="006A3411"/>
    <w:rsid w:val="006A55F4"/>
    <w:rsid w:val="006D027E"/>
    <w:rsid w:val="006D2A19"/>
    <w:rsid w:val="006E0D99"/>
    <w:rsid w:val="00702D9D"/>
    <w:rsid w:val="00712EE8"/>
    <w:rsid w:val="00714611"/>
    <w:rsid w:val="00760F60"/>
    <w:rsid w:val="00761D23"/>
    <w:rsid w:val="00793220"/>
    <w:rsid w:val="007A02BD"/>
    <w:rsid w:val="007A76C8"/>
    <w:rsid w:val="007B35C3"/>
    <w:rsid w:val="007B580E"/>
    <w:rsid w:val="007E342E"/>
    <w:rsid w:val="00803C2D"/>
    <w:rsid w:val="00811957"/>
    <w:rsid w:val="00812155"/>
    <w:rsid w:val="00833C80"/>
    <w:rsid w:val="0085554C"/>
    <w:rsid w:val="00887C9A"/>
    <w:rsid w:val="008C0E30"/>
    <w:rsid w:val="008E5F4C"/>
    <w:rsid w:val="009236C7"/>
    <w:rsid w:val="00933347"/>
    <w:rsid w:val="00935BA7"/>
    <w:rsid w:val="009440B9"/>
    <w:rsid w:val="00951B1D"/>
    <w:rsid w:val="009776E8"/>
    <w:rsid w:val="0098799B"/>
    <w:rsid w:val="009B7443"/>
    <w:rsid w:val="009C1CB4"/>
    <w:rsid w:val="009C5A55"/>
    <w:rsid w:val="00A118C9"/>
    <w:rsid w:val="00A15FAE"/>
    <w:rsid w:val="00A1648E"/>
    <w:rsid w:val="00A44EB0"/>
    <w:rsid w:val="00A64A2D"/>
    <w:rsid w:val="00A85641"/>
    <w:rsid w:val="00A901F4"/>
    <w:rsid w:val="00AA65A7"/>
    <w:rsid w:val="00AB46E6"/>
    <w:rsid w:val="00AB7CA1"/>
    <w:rsid w:val="00AB7F3F"/>
    <w:rsid w:val="00AF0D34"/>
    <w:rsid w:val="00AF23F8"/>
    <w:rsid w:val="00AF378E"/>
    <w:rsid w:val="00AF66DD"/>
    <w:rsid w:val="00B0459A"/>
    <w:rsid w:val="00B31E5C"/>
    <w:rsid w:val="00B4275B"/>
    <w:rsid w:val="00B62741"/>
    <w:rsid w:val="00B67747"/>
    <w:rsid w:val="00B84167"/>
    <w:rsid w:val="00B8457D"/>
    <w:rsid w:val="00B950F3"/>
    <w:rsid w:val="00BB1FF6"/>
    <w:rsid w:val="00BC0343"/>
    <w:rsid w:val="00BD04DC"/>
    <w:rsid w:val="00BE7C8B"/>
    <w:rsid w:val="00BF4A8B"/>
    <w:rsid w:val="00BF5326"/>
    <w:rsid w:val="00BF6128"/>
    <w:rsid w:val="00C136AB"/>
    <w:rsid w:val="00C17EAE"/>
    <w:rsid w:val="00C33B50"/>
    <w:rsid w:val="00C374F7"/>
    <w:rsid w:val="00C50405"/>
    <w:rsid w:val="00C56C29"/>
    <w:rsid w:val="00C64BFD"/>
    <w:rsid w:val="00CA24EF"/>
    <w:rsid w:val="00CF31B0"/>
    <w:rsid w:val="00D13A69"/>
    <w:rsid w:val="00D275A0"/>
    <w:rsid w:val="00D31D26"/>
    <w:rsid w:val="00D5393D"/>
    <w:rsid w:val="00D83CD1"/>
    <w:rsid w:val="00DA4EF4"/>
    <w:rsid w:val="00DD3226"/>
    <w:rsid w:val="00DD7C21"/>
    <w:rsid w:val="00DE4960"/>
    <w:rsid w:val="00E24ADA"/>
    <w:rsid w:val="00E24FEF"/>
    <w:rsid w:val="00EA2249"/>
    <w:rsid w:val="00ED0BE1"/>
    <w:rsid w:val="00ED4639"/>
    <w:rsid w:val="00F02067"/>
    <w:rsid w:val="00F05B46"/>
    <w:rsid w:val="00F15B8C"/>
    <w:rsid w:val="00F500BC"/>
    <w:rsid w:val="00F566F9"/>
    <w:rsid w:val="00F60A9D"/>
    <w:rsid w:val="00F71F48"/>
    <w:rsid w:val="00F76D4F"/>
    <w:rsid w:val="00F859F4"/>
    <w:rsid w:val="00FA2FF9"/>
    <w:rsid w:val="00FA5CE3"/>
    <w:rsid w:val="00FD5A1C"/>
    <w:rsid w:val="00FE2A67"/>
    <w:rsid w:val="05BA34C2"/>
    <w:rsid w:val="1A111C4D"/>
    <w:rsid w:val="372E2688"/>
    <w:rsid w:val="6F440CAD"/>
    <w:rsid w:val="73752D7B"/>
    <w:rsid w:val="73EC5503"/>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6"/>
    <w:unhideWhenUsed/>
    <w:qFormat/>
    <w:uiPriority w:val="99"/>
    <w:rPr>
      <w:b/>
      <w:bCs/>
    </w:rPr>
  </w:style>
  <w:style w:type="paragraph" w:styleId="3">
    <w:name w:val="annotation text"/>
    <w:basedOn w:val="1"/>
    <w:link w:val="15"/>
    <w:unhideWhenUsed/>
    <w:qFormat/>
    <w:uiPriority w:val="99"/>
    <w:pPr>
      <w:jc w:val="left"/>
    </w:pPr>
  </w:style>
  <w:style w:type="paragraph" w:styleId="4">
    <w:name w:val="Balloon Text"/>
    <w:basedOn w:val="1"/>
    <w:link w:val="12"/>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annotation reference"/>
    <w:basedOn w:val="7"/>
    <w:unhideWhenUsed/>
    <w:qFormat/>
    <w:uiPriority w:val="99"/>
    <w:rPr>
      <w:sz w:val="21"/>
      <w:szCs w:val="21"/>
    </w:rPr>
  </w:style>
  <w:style w:type="table" w:styleId="10">
    <w:name w:val="Table Grid"/>
    <w:basedOn w:val="9"/>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paragraph" w:customStyle="1" w:styleId="11">
    <w:name w:val="List Paragraph"/>
    <w:basedOn w:val="1"/>
    <w:qFormat/>
    <w:uiPriority w:val="34"/>
    <w:pPr>
      <w:ind w:firstLine="420" w:firstLineChars="200"/>
    </w:pPr>
  </w:style>
  <w:style w:type="character" w:customStyle="1" w:styleId="12">
    <w:name w:val="批注框文本 Char"/>
    <w:basedOn w:val="7"/>
    <w:link w:val="4"/>
    <w:semiHidden/>
    <w:qFormat/>
    <w:uiPriority w:val="99"/>
    <w:rPr>
      <w:sz w:val="18"/>
      <w:szCs w:val="18"/>
    </w:rPr>
  </w:style>
  <w:style w:type="character" w:customStyle="1" w:styleId="13">
    <w:name w:val="页眉 Char"/>
    <w:basedOn w:val="7"/>
    <w:link w:val="6"/>
    <w:semiHidden/>
    <w:qFormat/>
    <w:uiPriority w:val="99"/>
    <w:rPr>
      <w:sz w:val="18"/>
      <w:szCs w:val="18"/>
    </w:rPr>
  </w:style>
  <w:style w:type="character" w:customStyle="1" w:styleId="14">
    <w:name w:val="页脚 Char"/>
    <w:basedOn w:val="7"/>
    <w:link w:val="5"/>
    <w:qFormat/>
    <w:uiPriority w:val="99"/>
    <w:rPr>
      <w:sz w:val="18"/>
      <w:szCs w:val="18"/>
    </w:rPr>
  </w:style>
  <w:style w:type="character" w:customStyle="1" w:styleId="15">
    <w:name w:val="批注文字 Char"/>
    <w:basedOn w:val="7"/>
    <w:link w:val="3"/>
    <w:semiHidden/>
    <w:qFormat/>
    <w:uiPriority w:val="99"/>
  </w:style>
  <w:style w:type="character" w:customStyle="1" w:styleId="16">
    <w:name w:val="批注主题 Char"/>
    <w:basedOn w:val="15"/>
    <w:link w:val="2"/>
    <w:semiHidden/>
    <w:qFormat/>
    <w:uiPriority w:val="99"/>
    <w:rPr>
      <w:b/>
      <w:bCs/>
    </w:rPr>
  </w:style>
  <w:style w:type="paragraph" w:customStyle="1" w:styleId="17">
    <w:name w:val="修订1"/>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378</Words>
  <Characters>2158</Characters>
  <Lines>17</Lines>
  <Paragraphs>5</Paragraphs>
  <TotalTime>0</TotalTime>
  <ScaleCrop>false</ScaleCrop>
  <LinksUpToDate>false</LinksUpToDate>
  <CharactersWithSpaces>2531</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2020-05-22T06:10:00Z</dcterms:created>
  <dc:creator>dell</dc:creator>
  <cp:lastModifiedBy>editor</cp:lastModifiedBy>
  <cp:lastPrinted>2020-07-09T07:49:00Z</cp:lastPrinted>
  <dcterms:modified xsi:type="dcterms:W3CDTF">2020-07-13T07:17:17Z</dcterms:modified>
  <dc:title>《中国清洁发展机制基金管理办法》</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