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8CF" w:themeColor="background1"/>
  <w:body>
    <w:p w:rsidR="00804CA1" w:rsidRDefault="00804CA1">
      <w:pPr>
        <w:rPr>
          <w:rFonts w:ascii="黑体" w:eastAsia="黑体" w:hAnsi="黑体"/>
          <w:sz w:val="32"/>
          <w:szCs w:val="32"/>
        </w:rPr>
      </w:pPr>
      <w:r w:rsidRPr="00804CA1">
        <w:rPr>
          <w:rFonts w:ascii="黑体" w:eastAsia="黑体" w:hAnsi="黑体" w:hint="eastAsia"/>
          <w:sz w:val="32"/>
          <w:szCs w:val="32"/>
        </w:rPr>
        <w:t>附件</w:t>
      </w:r>
      <w:r w:rsidR="00BB308B">
        <w:rPr>
          <w:rFonts w:ascii="黑体" w:eastAsia="黑体" w:hAnsi="黑体" w:hint="eastAsia"/>
          <w:sz w:val="32"/>
          <w:szCs w:val="32"/>
        </w:rPr>
        <w:t>1</w:t>
      </w:r>
      <w:r w:rsidR="00255485">
        <w:rPr>
          <w:rFonts w:ascii="黑体" w:eastAsia="黑体" w:hAnsi="黑体" w:hint="eastAsia"/>
          <w:sz w:val="32"/>
          <w:szCs w:val="32"/>
        </w:rPr>
        <w:t>1</w:t>
      </w:r>
    </w:p>
    <w:p w:rsidR="00804CA1" w:rsidRPr="00804CA1" w:rsidRDefault="00804CA1">
      <w:pPr>
        <w:rPr>
          <w:rFonts w:ascii="黑体" w:eastAsia="黑体" w:hAnsi="黑体"/>
          <w:sz w:val="32"/>
          <w:szCs w:val="32"/>
        </w:rPr>
      </w:pPr>
    </w:p>
    <w:p w:rsidR="00804CA1" w:rsidRDefault="00804CA1" w:rsidP="00804CA1">
      <w:pPr>
        <w:jc w:val="center"/>
        <w:rPr>
          <w:rFonts w:ascii="方正小标宋简体" w:eastAsia="方正小标宋简体"/>
          <w:spacing w:val="-12"/>
          <w:sz w:val="44"/>
          <w:szCs w:val="44"/>
        </w:rPr>
      </w:pPr>
      <w:r w:rsidRPr="00E54106">
        <w:rPr>
          <w:rFonts w:ascii="方正小标宋简体" w:eastAsia="方正小标宋简体" w:hint="eastAsia"/>
          <w:spacing w:val="-12"/>
          <w:sz w:val="44"/>
          <w:szCs w:val="44"/>
        </w:rPr>
        <w:t>关于部分检验项目的说明</w:t>
      </w:r>
    </w:p>
    <w:p w:rsidR="00804CA1" w:rsidRPr="00804CA1" w:rsidRDefault="00804CA1" w:rsidP="00804CA1">
      <w:pPr>
        <w:jc w:val="center"/>
        <w:rPr>
          <w:rFonts w:ascii="方正小标宋简体" w:eastAsia="方正小标宋简体"/>
          <w:spacing w:val="-12"/>
          <w:sz w:val="32"/>
          <w:szCs w:val="32"/>
        </w:rPr>
      </w:pPr>
    </w:p>
    <w:p w:rsidR="000A05B7" w:rsidRPr="007505B0" w:rsidRDefault="000615C6" w:rsidP="000A05B7">
      <w:pPr>
        <w:spacing w:line="600" w:lineRule="exact"/>
        <w:ind w:firstLineChars="200" w:firstLine="592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一、</w:t>
      </w:r>
      <w:r w:rsidR="00BA252B">
        <w:rPr>
          <w:rFonts w:ascii="黑体" w:eastAsia="黑体" w:hAnsi="黑体" w:hint="eastAsia"/>
          <w:kern w:val="0"/>
          <w:sz w:val="32"/>
          <w:szCs w:val="32"/>
        </w:rPr>
        <w:t>二氧化硫残留量</w:t>
      </w:r>
    </w:p>
    <w:p w:rsidR="000615C6" w:rsidRPr="007907C0" w:rsidRDefault="00BA252B" w:rsidP="00BA25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252B">
        <w:rPr>
          <w:rFonts w:ascii="仿宋_GB2312" w:eastAsia="仿宋_GB2312" w:hAnsi="宋体" w:cs="Times New Roman" w:hint="eastAsia"/>
          <w:kern w:val="0"/>
          <w:sz w:val="32"/>
          <w:szCs w:val="32"/>
        </w:rPr>
        <w:t>二氧化硫是食品加工中常用的漂白剂和防腐剂，使用后产生二氧化硫残留。</w:t>
      </w:r>
      <w:r w:rsidRPr="00BA252B">
        <w:rPr>
          <w:rFonts w:ascii="仿宋_GB2312" w:eastAsia="仿宋_GB2312" w:hAnsi="Calibri" w:cs="Times New Roman" w:hint="eastAsia"/>
          <w:sz w:val="32"/>
          <w:szCs w:val="32"/>
        </w:rPr>
        <w:t>《食品安全国家标准 食品添加剂使用标准》（</w:t>
      </w:r>
      <w:r w:rsidRPr="0093212E">
        <w:rPr>
          <w:rFonts w:ascii="Times New Roman" w:eastAsia="仿宋_GB2312" w:hAnsi="Times New Roman" w:cs="Times New Roman"/>
          <w:sz w:val="32"/>
          <w:szCs w:val="32"/>
        </w:rPr>
        <w:t>GB 2760—2014</w:t>
      </w:r>
      <w:r w:rsidRPr="00BA252B">
        <w:rPr>
          <w:rFonts w:ascii="仿宋_GB2312" w:eastAsia="仿宋_GB2312" w:hAnsi="Calibri" w:cs="Times New Roman" w:hint="eastAsia"/>
          <w:sz w:val="32"/>
          <w:szCs w:val="32"/>
        </w:rPr>
        <w:t>）中规定坚果</w:t>
      </w:r>
      <w:proofErr w:type="gramStart"/>
      <w:r w:rsidRPr="00BA252B">
        <w:rPr>
          <w:rFonts w:ascii="仿宋_GB2312" w:eastAsia="仿宋_GB2312" w:hAnsi="Calibri" w:cs="Times New Roman" w:hint="eastAsia"/>
          <w:sz w:val="32"/>
          <w:szCs w:val="32"/>
        </w:rPr>
        <w:t>与籽类食品</w:t>
      </w:r>
      <w:proofErr w:type="gramEnd"/>
      <w:r w:rsidRPr="00BA252B">
        <w:rPr>
          <w:rFonts w:ascii="仿宋_GB2312" w:eastAsia="仿宋_GB2312" w:hAnsi="宋体" w:cs="Times New Roman" w:hint="eastAsia"/>
          <w:kern w:val="0"/>
          <w:sz w:val="32"/>
          <w:szCs w:val="32"/>
        </w:rPr>
        <w:t>不得使用,</w:t>
      </w:r>
      <w:r w:rsidRPr="00BA252B">
        <w:rPr>
          <w:rFonts w:ascii="仿宋_GB2312" w:eastAsia="仿宋_GB2312" w:hAnsi="Times New Roman" w:cs="Times New Roman" w:hint="eastAsia"/>
          <w:sz w:val="32"/>
          <w:szCs w:val="32"/>
        </w:rPr>
        <w:t>二氧化硫进入人体后最终转化为硫酸盐并随尿液排出体外</w:t>
      </w:r>
      <w:r w:rsidR="00FB0E07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BA252B">
        <w:rPr>
          <w:rFonts w:ascii="仿宋_GB2312" w:eastAsia="仿宋_GB2312" w:hAnsi="Times New Roman" w:cs="Times New Roman" w:hint="eastAsia"/>
          <w:sz w:val="32"/>
          <w:szCs w:val="32"/>
        </w:rPr>
        <w:t>少量二氧化硫进入人体不会对身体带来健康危害，但若过量食用可能引起如恶心、呕吐等胃肠道反应。</w:t>
      </w:r>
    </w:p>
    <w:p w:rsidR="000A05B7" w:rsidRPr="00802D6D" w:rsidRDefault="000615C6" w:rsidP="00802D6D">
      <w:pPr>
        <w:spacing w:line="600" w:lineRule="exact"/>
        <w:ind w:firstLineChars="200" w:firstLine="640"/>
        <w:rPr>
          <w:rFonts w:ascii="黑体" w:eastAsia="黑体" w:hAnsi="黑体"/>
          <w:spacing w:val="-12"/>
          <w:sz w:val="32"/>
          <w:szCs w:val="32"/>
        </w:rPr>
      </w:pPr>
      <w:r w:rsidRPr="00802D6D">
        <w:rPr>
          <w:rFonts w:ascii="黑体" w:eastAsia="黑体" w:hAnsi="黑体" w:cs="Times New Roman" w:hint="eastAsia"/>
          <w:sz w:val="32"/>
          <w:szCs w:val="32"/>
        </w:rPr>
        <w:t>二、</w:t>
      </w:r>
      <w:r w:rsidR="0026564C">
        <w:rPr>
          <w:rFonts w:ascii="黑体" w:eastAsia="黑体" w:hAnsi="黑体" w:hint="eastAsia"/>
          <w:sz w:val="32"/>
          <w:szCs w:val="32"/>
        </w:rPr>
        <w:t>酒精度</w:t>
      </w:r>
    </w:p>
    <w:p w:rsidR="000615C6" w:rsidRDefault="0026564C" w:rsidP="002656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酒精度又叫酒度，反映</w:t>
      </w:r>
      <w:r w:rsidR="00CA4BB5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酒中乙醇（酒精）的含量，是酒类的品质指标之一。酒精度不合格可能是个别企业生产工艺控制不严格</w:t>
      </w:r>
      <w:r w:rsidR="00CA4BB5"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检验器具不准确等因素造成。</w:t>
      </w:r>
    </w:p>
    <w:p w:rsidR="000A05B7" w:rsidRDefault="00206313" w:rsidP="00BB0A57">
      <w:pPr>
        <w:ind w:firstLineChars="200" w:firstLine="640"/>
        <w:rPr>
          <w:rFonts w:ascii="黑体" w:eastAsia="黑体" w:hAnsi="黑体" w:cs="Times New Roman"/>
          <w:spacing w:val="-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0A05B7">
        <w:rPr>
          <w:rFonts w:ascii="黑体" w:eastAsia="黑体" w:hAnsi="黑体" w:cs="黑体" w:hint="eastAsia"/>
          <w:spacing w:val="-12"/>
          <w:sz w:val="32"/>
          <w:szCs w:val="32"/>
        </w:rPr>
        <w:t>蔗糖分</w:t>
      </w:r>
    </w:p>
    <w:p w:rsidR="00206313" w:rsidRPr="00BA252B" w:rsidRDefault="000A05B7" w:rsidP="0022029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20298">
        <w:rPr>
          <w:rFonts w:ascii="仿宋" w:eastAsia="仿宋" w:hAnsi="仿宋" w:cs="仿宋" w:hint="eastAsia"/>
          <w:sz w:val="32"/>
          <w:szCs w:val="32"/>
        </w:rPr>
        <w:t>食糖的品质指标之一，反映了食糖中蔗糖的含量，是食糖质量等级划分的主要依据之一。蔗糖是食糖的主要成分，蔗糖分高低与生产工艺水平密切相关。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行业标准《单晶体冰糖》（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QB/T 1173—2002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）中规定合格级单晶体冰糖的蔗糖分要≥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99.6%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，行业标准《多晶体冰糖》（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QB/T 1174—2002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）中规定优级黄冰糖的蔗糖分要≥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97.5%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。</w:t>
      </w:r>
    </w:p>
    <w:p w:rsidR="000A05B7" w:rsidRDefault="00BB0A57" w:rsidP="00220298">
      <w:pPr>
        <w:ind w:firstLineChars="200" w:firstLine="640"/>
        <w:rPr>
          <w:rFonts w:ascii="黑体" w:eastAsia="黑体" w:hAnsi="黑体" w:cs="Times New Roman"/>
          <w:spacing w:val="-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06313">
        <w:rPr>
          <w:rFonts w:ascii="黑体" w:eastAsia="黑体" w:hAnsi="黑体" w:hint="eastAsia"/>
          <w:sz w:val="32"/>
          <w:szCs w:val="32"/>
        </w:rPr>
        <w:t>、</w:t>
      </w:r>
      <w:r w:rsidR="000A05B7">
        <w:rPr>
          <w:rFonts w:ascii="黑体" w:eastAsia="黑体" w:hAnsi="黑体" w:cs="黑体" w:hint="eastAsia"/>
          <w:spacing w:val="-12"/>
          <w:sz w:val="32"/>
          <w:szCs w:val="32"/>
        </w:rPr>
        <w:t>还原糖分</w:t>
      </w:r>
    </w:p>
    <w:p w:rsidR="00206313" w:rsidRPr="00220298" w:rsidRDefault="000A05B7" w:rsidP="000A05B7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220298">
        <w:rPr>
          <w:rFonts w:ascii="仿宋_GB2312" w:eastAsia="仿宋_GB2312" w:hint="eastAsia"/>
          <w:color w:val="000000" w:themeColor="text1"/>
          <w:sz w:val="32"/>
          <w:szCs w:val="32"/>
        </w:rPr>
        <w:t>食糖的品质指标之一，反映了食糖中还原糖的含量，还原糖含量会影响食糖的口感、外观等。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行业标准《单晶体冰糖》（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QB/T1173—2002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）中规定合格级单晶体冰糖的还原糖分要≤</w:t>
      </w:r>
      <w:r w:rsidR="00BA252B"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0.12%</w:t>
      </w:r>
      <w:r w:rsidR="00BA252B"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。</w:t>
      </w:r>
      <w:r w:rsidRPr="00220298">
        <w:rPr>
          <w:rFonts w:ascii="仿宋_GB2312" w:eastAsia="仿宋_GB2312" w:hint="eastAsia"/>
          <w:color w:val="000000" w:themeColor="text1"/>
          <w:sz w:val="32"/>
          <w:szCs w:val="32"/>
        </w:rPr>
        <w:t>还原糖分超标与生产工艺、运输储存环境等有关。</w:t>
      </w:r>
    </w:p>
    <w:p w:rsidR="0077649F" w:rsidRPr="005D7D45" w:rsidRDefault="00BB0A57" w:rsidP="0077649F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75496D" w:rsidRPr="0075496D">
        <w:rPr>
          <w:rFonts w:ascii="黑体" w:eastAsia="黑体" w:hAnsi="黑体" w:hint="eastAsia"/>
          <w:sz w:val="32"/>
          <w:szCs w:val="32"/>
        </w:rPr>
        <w:t>、</w:t>
      </w:r>
      <w:r w:rsidR="0077649F">
        <w:rPr>
          <w:rFonts w:ascii="黑体" w:eastAsia="黑体" w:hAnsi="黑体" w:cs="黑体" w:hint="eastAsia"/>
          <w:spacing w:val="-12"/>
          <w:sz w:val="32"/>
          <w:szCs w:val="32"/>
        </w:rPr>
        <w:t>色值</w:t>
      </w:r>
    </w:p>
    <w:p w:rsidR="000A05B7" w:rsidRDefault="0077649F" w:rsidP="0077649F">
      <w:pPr>
        <w:ind w:firstLineChars="200" w:firstLine="640"/>
        <w:rPr>
          <w:rFonts w:ascii="黑体" w:eastAsia="黑体" w:hAnsi="黑体" w:cs="Times New Roman"/>
          <w:spacing w:val="-12"/>
          <w:sz w:val="32"/>
          <w:szCs w:val="32"/>
        </w:rPr>
      </w:pPr>
      <w:r w:rsidRPr="00BA252B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食糖的品质指标之一，是白砂糖、绵白糖、冰糖等质量等级划分的主要依据之一，它主要影响糖品的外观，是杂质多寡的一种反映，也是生产工艺水平的一种体现。</w:t>
      </w:r>
      <w:r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国家标准《白砂糖》（</w:t>
      </w:r>
      <w:r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GB317—2006</w:t>
      </w:r>
      <w:r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）中规定一级白砂糖</w:t>
      </w:r>
      <w:proofErr w:type="gramStart"/>
      <w:r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的色值要</w:t>
      </w:r>
      <w:proofErr w:type="gramEnd"/>
      <w:r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≤</w:t>
      </w:r>
      <w:r w:rsidRPr="00BA252B">
        <w:rPr>
          <w:rFonts w:ascii="Times New Roman" w:eastAsia="仿宋_GB2312" w:hAnsi="Times New Roman" w:cs="Times New Roman"/>
          <w:spacing w:val="-12"/>
          <w:sz w:val="32"/>
          <w:szCs w:val="32"/>
        </w:rPr>
        <w:t>150IU</w:t>
      </w:r>
      <w:r w:rsidRPr="00BA252B">
        <w:rPr>
          <w:rFonts w:ascii="仿宋_GB2312" w:eastAsia="仿宋_GB2312" w:hAnsi="仿宋" w:cs="仿宋" w:hint="eastAsia"/>
          <w:spacing w:val="-12"/>
          <w:sz w:val="32"/>
          <w:szCs w:val="32"/>
        </w:rPr>
        <w:t>。</w:t>
      </w:r>
    </w:p>
    <w:p w:rsidR="005D7D45" w:rsidRPr="00BA252B" w:rsidRDefault="005D7D45" w:rsidP="000615C6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</w:p>
    <w:sectPr w:rsidR="005D7D45" w:rsidRPr="00BA252B" w:rsidSect="00C24969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77" w:rsidRDefault="00637A77" w:rsidP="00804CA1">
      <w:r>
        <w:separator/>
      </w:r>
    </w:p>
  </w:endnote>
  <w:endnote w:type="continuationSeparator" w:id="0">
    <w:p w:rsidR="00637A77" w:rsidRDefault="00637A77" w:rsidP="0080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087551"/>
      <w:docPartObj>
        <w:docPartGallery w:val="Page Numbers (Bottom of Page)"/>
        <w:docPartUnique/>
      </w:docPartObj>
    </w:sdtPr>
    <w:sdtEndPr/>
    <w:sdtContent>
      <w:p w:rsidR="00895177" w:rsidRDefault="008951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A4" w:rsidRPr="00954EA4">
          <w:rPr>
            <w:noProof/>
            <w:lang w:val="zh-CN"/>
          </w:rPr>
          <w:t>2</w:t>
        </w:r>
        <w:r>
          <w:fldChar w:fldCharType="end"/>
        </w:r>
      </w:p>
    </w:sdtContent>
  </w:sdt>
  <w:p w:rsidR="00895177" w:rsidRDefault="008951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77" w:rsidRDefault="00637A77" w:rsidP="00804CA1">
      <w:r>
        <w:separator/>
      </w:r>
    </w:p>
  </w:footnote>
  <w:footnote w:type="continuationSeparator" w:id="0">
    <w:p w:rsidR="00637A77" w:rsidRDefault="00637A77" w:rsidP="0080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C16"/>
    <w:multiLevelType w:val="hybridMultilevel"/>
    <w:tmpl w:val="07C697FE"/>
    <w:lvl w:ilvl="0" w:tplc="04383AD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AD034"/>
    <w:multiLevelType w:val="singleLevel"/>
    <w:tmpl w:val="581AD03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0231D"/>
    <w:rsid w:val="00057C9D"/>
    <w:rsid w:val="000615C6"/>
    <w:rsid w:val="0006439D"/>
    <w:rsid w:val="0007233C"/>
    <w:rsid w:val="000800AE"/>
    <w:rsid w:val="00082CA4"/>
    <w:rsid w:val="00097E5A"/>
    <w:rsid w:val="000A05B7"/>
    <w:rsid w:val="000A1CA7"/>
    <w:rsid w:val="000F4B86"/>
    <w:rsid w:val="00102897"/>
    <w:rsid w:val="00113712"/>
    <w:rsid w:val="00124BDE"/>
    <w:rsid w:val="00125041"/>
    <w:rsid w:val="001275A9"/>
    <w:rsid w:val="001516B2"/>
    <w:rsid w:val="00156C2C"/>
    <w:rsid w:val="001901F9"/>
    <w:rsid w:val="001A6ADF"/>
    <w:rsid w:val="001C4310"/>
    <w:rsid w:val="001E7C5C"/>
    <w:rsid w:val="00206313"/>
    <w:rsid w:val="00220298"/>
    <w:rsid w:val="0023546D"/>
    <w:rsid w:val="00250205"/>
    <w:rsid w:val="00255485"/>
    <w:rsid w:val="0026564C"/>
    <w:rsid w:val="002960CF"/>
    <w:rsid w:val="002D4F2C"/>
    <w:rsid w:val="00357F27"/>
    <w:rsid w:val="0038633A"/>
    <w:rsid w:val="00412DAF"/>
    <w:rsid w:val="0041724F"/>
    <w:rsid w:val="00417336"/>
    <w:rsid w:val="00424036"/>
    <w:rsid w:val="004364F8"/>
    <w:rsid w:val="004A654B"/>
    <w:rsid w:val="004E325C"/>
    <w:rsid w:val="004F3D58"/>
    <w:rsid w:val="00522F08"/>
    <w:rsid w:val="005317AB"/>
    <w:rsid w:val="00534A48"/>
    <w:rsid w:val="00546FD2"/>
    <w:rsid w:val="0057056D"/>
    <w:rsid w:val="0057524F"/>
    <w:rsid w:val="005771A5"/>
    <w:rsid w:val="005B58B4"/>
    <w:rsid w:val="005D7D45"/>
    <w:rsid w:val="00637A77"/>
    <w:rsid w:val="00661D1A"/>
    <w:rsid w:val="00674ABF"/>
    <w:rsid w:val="00687316"/>
    <w:rsid w:val="006F32DE"/>
    <w:rsid w:val="006F7339"/>
    <w:rsid w:val="0073295B"/>
    <w:rsid w:val="007505B0"/>
    <w:rsid w:val="0075496D"/>
    <w:rsid w:val="0077575E"/>
    <w:rsid w:val="0077649F"/>
    <w:rsid w:val="0077710D"/>
    <w:rsid w:val="00783A82"/>
    <w:rsid w:val="007907C0"/>
    <w:rsid w:val="007A3F1E"/>
    <w:rsid w:val="007C08C7"/>
    <w:rsid w:val="00802D6D"/>
    <w:rsid w:val="00804CA1"/>
    <w:rsid w:val="008117B8"/>
    <w:rsid w:val="00861378"/>
    <w:rsid w:val="00876DA7"/>
    <w:rsid w:val="00880F04"/>
    <w:rsid w:val="00895177"/>
    <w:rsid w:val="008D7ECA"/>
    <w:rsid w:val="008E6DF4"/>
    <w:rsid w:val="0093212E"/>
    <w:rsid w:val="0094696D"/>
    <w:rsid w:val="00953842"/>
    <w:rsid w:val="00954EA4"/>
    <w:rsid w:val="009756BD"/>
    <w:rsid w:val="00993F00"/>
    <w:rsid w:val="009B17D9"/>
    <w:rsid w:val="009B1CE0"/>
    <w:rsid w:val="009C0184"/>
    <w:rsid w:val="009C78F5"/>
    <w:rsid w:val="009E0C03"/>
    <w:rsid w:val="009E252B"/>
    <w:rsid w:val="009F2D68"/>
    <w:rsid w:val="009F4B8A"/>
    <w:rsid w:val="00A1575B"/>
    <w:rsid w:val="00A339B7"/>
    <w:rsid w:val="00A370EE"/>
    <w:rsid w:val="00A95451"/>
    <w:rsid w:val="00AB0288"/>
    <w:rsid w:val="00AB1112"/>
    <w:rsid w:val="00AB3E33"/>
    <w:rsid w:val="00AB7501"/>
    <w:rsid w:val="00AC79C1"/>
    <w:rsid w:val="00AD20E8"/>
    <w:rsid w:val="00B107D5"/>
    <w:rsid w:val="00B10F56"/>
    <w:rsid w:val="00B147BF"/>
    <w:rsid w:val="00B2770C"/>
    <w:rsid w:val="00B60BFA"/>
    <w:rsid w:val="00B7372E"/>
    <w:rsid w:val="00BA252B"/>
    <w:rsid w:val="00BA26ED"/>
    <w:rsid w:val="00BA54E8"/>
    <w:rsid w:val="00BB0A57"/>
    <w:rsid w:val="00BB308B"/>
    <w:rsid w:val="00BC5FBA"/>
    <w:rsid w:val="00C24969"/>
    <w:rsid w:val="00C637EE"/>
    <w:rsid w:val="00C749F9"/>
    <w:rsid w:val="00C866ED"/>
    <w:rsid w:val="00C879C0"/>
    <w:rsid w:val="00CA4BB5"/>
    <w:rsid w:val="00CE0330"/>
    <w:rsid w:val="00CE13D2"/>
    <w:rsid w:val="00CF0D96"/>
    <w:rsid w:val="00D11774"/>
    <w:rsid w:val="00D16C55"/>
    <w:rsid w:val="00D2271C"/>
    <w:rsid w:val="00D413F8"/>
    <w:rsid w:val="00D762A4"/>
    <w:rsid w:val="00DC74BA"/>
    <w:rsid w:val="00DD01CF"/>
    <w:rsid w:val="00DE52CB"/>
    <w:rsid w:val="00E254D1"/>
    <w:rsid w:val="00E45F03"/>
    <w:rsid w:val="00E5769E"/>
    <w:rsid w:val="00E610CF"/>
    <w:rsid w:val="00E7510F"/>
    <w:rsid w:val="00E764E7"/>
    <w:rsid w:val="00EC1621"/>
    <w:rsid w:val="00EF2FC7"/>
    <w:rsid w:val="00EF73EB"/>
    <w:rsid w:val="00F56DA2"/>
    <w:rsid w:val="00F64B8F"/>
    <w:rsid w:val="00F944A3"/>
    <w:rsid w:val="00FB0E07"/>
    <w:rsid w:val="00FC246E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A1"/>
    <w:rPr>
      <w:sz w:val="18"/>
      <w:szCs w:val="18"/>
    </w:rPr>
  </w:style>
  <w:style w:type="paragraph" w:styleId="a5">
    <w:name w:val="List Paragraph"/>
    <w:basedOn w:val="a"/>
    <w:uiPriority w:val="34"/>
    <w:qFormat/>
    <w:rsid w:val="0057056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705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705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35FB-5265-4F15-BC0F-450F630D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652</Characters>
  <Application>Microsoft Office Word</Application>
  <DocSecurity>0</DocSecurity>
  <Lines>32</Lines>
  <Paragraphs>12</Paragraphs>
  <ScaleCrop>false</ScaleCrop>
  <Company>http://sdwm.org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秦广玲</cp:lastModifiedBy>
  <cp:revision>4</cp:revision>
  <cp:lastPrinted>2016-12-01T05:45:00Z</cp:lastPrinted>
  <dcterms:created xsi:type="dcterms:W3CDTF">2016-12-29T00:41:00Z</dcterms:created>
  <dcterms:modified xsi:type="dcterms:W3CDTF">2016-12-29T06:11:00Z</dcterms:modified>
</cp:coreProperties>
</file>