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A6787" w:rsidRDefault="004D6D8C">
      <w:pPr>
        <w:rPr>
          <w:rFonts w:ascii="黑体" w:eastAsia="黑体" w:hAnsi="黑体"/>
          <w:sz w:val="32"/>
          <w:szCs w:val="32"/>
        </w:rPr>
      </w:pPr>
      <w:r>
        <w:rPr>
          <w:rFonts w:ascii="黑体" w:eastAsia="黑体" w:hAnsi="黑体" w:hint="eastAsia"/>
          <w:sz w:val="32"/>
          <w:szCs w:val="32"/>
        </w:rPr>
        <w:t>附件</w:t>
      </w:r>
      <w:r w:rsidR="000960A5">
        <w:rPr>
          <w:rFonts w:ascii="黑体" w:eastAsia="黑体" w:hAnsi="黑体" w:hint="eastAsia"/>
          <w:sz w:val="32"/>
          <w:szCs w:val="32"/>
        </w:rPr>
        <w:t>2</w:t>
      </w:r>
      <w:bookmarkStart w:id="0" w:name="_GoBack"/>
      <w:bookmarkEnd w:id="0"/>
    </w:p>
    <w:p w:rsidR="002A6787" w:rsidRDefault="002A6787" w:rsidP="00CD5518">
      <w:pPr>
        <w:spacing w:line="560" w:lineRule="exact"/>
        <w:jc w:val="center"/>
        <w:rPr>
          <w:rFonts w:ascii="黑体" w:eastAsia="黑体" w:hAnsi="黑体"/>
          <w:sz w:val="32"/>
          <w:szCs w:val="32"/>
        </w:rPr>
      </w:pPr>
    </w:p>
    <w:p w:rsidR="002A6787" w:rsidRDefault="000960A5" w:rsidP="00CD5518">
      <w:pPr>
        <w:spacing w:line="560" w:lineRule="exact"/>
        <w:jc w:val="center"/>
        <w:rPr>
          <w:rFonts w:ascii="方正小标宋简体" w:eastAsia="方正小标宋简体"/>
          <w:spacing w:val="-12"/>
          <w:sz w:val="44"/>
          <w:szCs w:val="44"/>
        </w:rPr>
      </w:pPr>
      <w:r w:rsidRPr="00E54106">
        <w:rPr>
          <w:rFonts w:ascii="方正小标宋简体" w:eastAsia="方正小标宋简体" w:hint="eastAsia"/>
          <w:spacing w:val="-12"/>
          <w:sz w:val="44"/>
          <w:szCs w:val="44"/>
        </w:rPr>
        <w:t>部分</w:t>
      </w:r>
      <w:r>
        <w:rPr>
          <w:rFonts w:ascii="方正小标宋简体" w:eastAsia="方正小标宋简体" w:hint="eastAsia"/>
          <w:spacing w:val="-12"/>
          <w:sz w:val="44"/>
          <w:szCs w:val="44"/>
        </w:rPr>
        <w:t>不合格</w:t>
      </w:r>
      <w:r w:rsidRPr="00E54106">
        <w:rPr>
          <w:rFonts w:ascii="方正小标宋简体" w:eastAsia="方正小标宋简体" w:hint="eastAsia"/>
          <w:spacing w:val="-12"/>
          <w:sz w:val="44"/>
          <w:szCs w:val="44"/>
        </w:rPr>
        <w:t>项目的</w:t>
      </w:r>
      <w:r>
        <w:rPr>
          <w:rFonts w:ascii="方正小标宋简体" w:eastAsia="方正小标宋简体" w:hint="eastAsia"/>
          <w:spacing w:val="-12"/>
          <w:sz w:val="44"/>
          <w:szCs w:val="44"/>
        </w:rPr>
        <w:t>小知识</w:t>
      </w:r>
    </w:p>
    <w:p w:rsidR="00CA4F2E" w:rsidRDefault="00CA4F2E" w:rsidP="00CD5518">
      <w:pPr>
        <w:spacing w:line="560" w:lineRule="exact"/>
        <w:jc w:val="center"/>
        <w:rPr>
          <w:rFonts w:ascii="方正小标宋简体" w:eastAsia="方正小标宋简体"/>
          <w:spacing w:val="-12"/>
          <w:sz w:val="44"/>
          <w:szCs w:val="44"/>
        </w:rPr>
      </w:pPr>
    </w:p>
    <w:p w:rsidR="00AE7A33" w:rsidRPr="0075496D" w:rsidRDefault="00CA4F2E" w:rsidP="00AE7A33">
      <w:pPr>
        <w:ind w:firstLineChars="200" w:firstLine="640"/>
        <w:rPr>
          <w:rFonts w:ascii="黑体" w:eastAsia="黑体" w:hAnsi="黑体"/>
          <w:sz w:val="32"/>
          <w:szCs w:val="32"/>
        </w:rPr>
      </w:pPr>
      <w:r w:rsidRPr="00CA4F2E">
        <w:rPr>
          <w:rFonts w:ascii="黑体" w:eastAsia="黑体" w:hAnsi="黑体" w:cs="Times New Roman" w:hint="eastAsia"/>
          <w:sz w:val="32"/>
          <w:szCs w:val="32"/>
        </w:rPr>
        <w:t>一、</w:t>
      </w:r>
      <w:r w:rsidR="00AE7A33" w:rsidRPr="0075496D">
        <w:rPr>
          <w:rFonts w:ascii="黑体" w:eastAsia="黑体" w:hAnsi="黑体" w:hint="eastAsia"/>
          <w:sz w:val="32"/>
          <w:szCs w:val="32"/>
        </w:rPr>
        <w:t>菌落总数</w:t>
      </w:r>
    </w:p>
    <w:p w:rsidR="00AE7A33" w:rsidRPr="0075496D" w:rsidRDefault="00AE7A33" w:rsidP="00AE7A33">
      <w:pPr>
        <w:ind w:firstLineChars="200" w:firstLine="640"/>
        <w:rPr>
          <w:rFonts w:ascii="仿宋_GB2312" w:eastAsia="仿宋_GB2312"/>
          <w:sz w:val="32"/>
          <w:szCs w:val="32"/>
        </w:rPr>
      </w:pPr>
      <w:r w:rsidRPr="0075496D">
        <w:rPr>
          <w:rFonts w:ascii="仿宋_GB2312" w:eastAsia="仿宋_GB2312" w:hAnsi="ˎ̥" w:cs="Arial" w:hint="eastAsia"/>
          <w:sz w:val="32"/>
          <w:szCs w:val="32"/>
        </w:rPr>
        <w:t>菌落总数是指示性微生物指标，并非致病菌指标。主要用来评价食品清洁度，反映食品在生产过程中是否符合卫生要求。菌落总数超标说明个别企业可能未按要求严格控制生产加工过程的卫生条件，或者包装容器清洗消毒不到位；还有可能与产品包装密封不严，储运条件控制不当等有关。</w:t>
      </w:r>
    </w:p>
    <w:p w:rsidR="003D408E" w:rsidRDefault="0096507D" w:rsidP="003D408E">
      <w:pPr>
        <w:spacing w:line="600" w:lineRule="exact"/>
        <w:ind w:firstLineChars="200" w:firstLine="640"/>
        <w:jc w:val="left"/>
        <w:rPr>
          <w:rFonts w:ascii="Times New Roman" w:eastAsia="仿宋_GB2312" w:hAnsi="Times New Roman" w:cs="Times New Roman"/>
          <w:sz w:val="32"/>
          <w:szCs w:val="32"/>
        </w:rPr>
      </w:pPr>
      <w:r>
        <w:rPr>
          <w:rFonts w:ascii="黑体" w:eastAsia="黑体" w:hAnsi="黑体" w:cs="Times New Roman" w:hint="eastAsia"/>
          <w:sz w:val="32"/>
          <w:szCs w:val="32"/>
        </w:rPr>
        <w:t>二</w:t>
      </w:r>
      <w:r w:rsidR="00F5535A">
        <w:rPr>
          <w:rFonts w:ascii="黑体" w:eastAsia="黑体" w:hAnsi="黑体" w:hint="eastAsia"/>
          <w:sz w:val="32"/>
          <w:szCs w:val="32"/>
        </w:rPr>
        <w:t>、</w:t>
      </w:r>
      <w:r w:rsidR="003D408E">
        <w:rPr>
          <w:rFonts w:ascii="黑体" w:eastAsia="黑体" w:hAnsi="黑体" w:hint="eastAsia"/>
          <w:sz w:val="32"/>
          <w:szCs w:val="32"/>
        </w:rPr>
        <w:t>二氧化硫残留量</w:t>
      </w:r>
    </w:p>
    <w:p w:rsidR="00036D20" w:rsidRPr="00B51ACB" w:rsidRDefault="003D408E" w:rsidP="003D408E">
      <w:pPr>
        <w:spacing w:line="560" w:lineRule="exact"/>
        <w:ind w:firstLineChars="200" w:firstLine="640"/>
        <w:rPr>
          <w:rFonts w:ascii="仿宋_GB2312" w:eastAsia="仿宋_GB2312" w:hAnsi="Times New Roman" w:cs="Times New Roman"/>
          <w:color w:val="000000"/>
          <w:kern w:val="0"/>
          <w:sz w:val="32"/>
          <w:szCs w:val="32"/>
          <w:shd w:val="clear" w:color="auto" w:fill="FFFFFF"/>
        </w:rPr>
      </w:pPr>
      <w:r>
        <w:rPr>
          <w:rFonts w:ascii="仿宋_GB2312" w:eastAsia="仿宋_GB2312" w:hAnsi="宋体" w:hint="eastAsia"/>
          <w:kern w:val="0"/>
          <w:sz w:val="32"/>
          <w:szCs w:val="32"/>
        </w:rPr>
        <w:t>二氧化硫（以及焦亚硫酸钾、亚硫酸钠等添加剂）对食品有漂白和防腐作用，是食品加工中常用的漂白剂和防腐剂，使用后均产生二氧化硫的残留。</w:t>
      </w:r>
      <w:r>
        <w:rPr>
          <w:rFonts w:ascii="仿宋_GB2312" w:eastAsia="仿宋_GB2312" w:hint="eastAsia"/>
          <w:sz w:val="32"/>
          <w:szCs w:val="32"/>
        </w:rPr>
        <w:t>《食品安全国家标准 食品添加剂使用标准》（GB 2760</w:t>
      </w:r>
      <w:r w:rsidR="00F21826">
        <w:rPr>
          <w:rFonts w:ascii="仿宋_GB2312" w:eastAsia="仿宋_GB2312" w:hint="eastAsia"/>
          <w:sz w:val="32"/>
          <w:szCs w:val="32"/>
        </w:rPr>
        <w:t>—</w:t>
      </w:r>
      <w:r>
        <w:rPr>
          <w:rFonts w:ascii="仿宋_GB2312" w:eastAsia="仿宋_GB2312" w:hint="eastAsia"/>
          <w:sz w:val="32"/>
          <w:szCs w:val="32"/>
        </w:rPr>
        <w:t>2014）中规定，蜜饯凉果类</w:t>
      </w:r>
      <w:r>
        <w:rPr>
          <w:rFonts w:ascii="仿宋_GB2312" w:eastAsia="仿宋_GB2312" w:hAnsi="宋体" w:hint="eastAsia"/>
          <w:kern w:val="0"/>
          <w:sz w:val="32"/>
          <w:szCs w:val="32"/>
        </w:rPr>
        <w:t xml:space="preserve">二氧化硫残留量不得超过0.35 </w:t>
      </w:r>
      <w:r>
        <w:rPr>
          <w:rFonts w:ascii="仿宋_GB2312" w:eastAsia="仿宋_GB2312" w:hAnsi="宋体" w:cs="仿宋_GB2312" w:hint="eastAsia"/>
          <w:kern w:val="0"/>
          <w:sz w:val="32"/>
          <w:szCs w:val="32"/>
        </w:rPr>
        <w:t>g/kg</w:t>
      </w:r>
      <w:r>
        <w:rPr>
          <w:rFonts w:ascii="仿宋_GB2312" w:eastAsia="仿宋_GB2312" w:hint="eastAsia"/>
          <w:sz w:val="32"/>
          <w:szCs w:val="32"/>
        </w:rPr>
        <w:t>。水果制品</w:t>
      </w:r>
      <w:r>
        <w:rPr>
          <w:rFonts w:ascii="仿宋_GB2312" w:eastAsia="仿宋_GB2312"/>
          <w:sz w:val="32"/>
          <w:szCs w:val="32"/>
        </w:rPr>
        <w:t>出现二氧化硫残留量超标可能是在加工过程中，超限量使用亚硫酸盐等食品添加剂，以达到漂白和防腐的作用，从而导致产品中二氧化硫残留不符合要求。少量的二氧化硫进入身体可能危害不大，但如果长期食用二氧化硫残留量超标的食品，可能会对人体健康造成一定的不良影响</w:t>
      </w:r>
      <w:r>
        <w:rPr>
          <w:rFonts w:ascii="仿宋_GB2312" w:eastAsia="仿宋_GB2312" w:hint="eastAsia"/>
          <w:sz w:val="32"/>
          <w:szCs w:val="32"/>
        </w:rPr>
        <w:t>。</w:t>
      </w:r>
    </w:p>
    <w:p w:rsidR="00036D20" w:rsidRPr="00C76BF7" w:rsidRDefault="0096507D" w:rsidP="00F05C73">
      <w:pPr>
        <w:spacing w:line="600" w:lineRule="exact"/>
        <w:ind w:firstLineChars="200" w:firstLine="640"/>
        <w:jc w:val="left"/>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三</w:t>
      </w:r>
      <w:r w:rsidR="00036D20" w:rsidRPr="00C76BF7">
        <w:rPr>
          <w:rFonts w:ascii="黑体" w:eastAsia="黑体" w:hAnsi="黑体" w:cs="Times New Roman" w:hint="eastAsia"/>
          <w:color w:val="000000" w:themeColor="text1"/>
          <w:sz w:val="32"/>
          <w:szCs w:val="32"/>
        </w:rPr>
        <w:t>、</w:t>
      </w:r>
      <w:r w:rsidR="002B2C85" w:rsidRPr="00C76BF7">
        <w:rPr>
          <w:rFonts w:ascii="黑体" w:eastAsia="黑体" w:hAnsi="黑体" w:cs="Times New Roman" w:hint="eastAsia"/>
          <w:color w:val="000000" w:themeColor="text1"/>
          <w:sz w:val="32"/>
          <w:szCs w:val="32"/>
        </w:rPr>
        <w:t>日落黄</w:t>
      </w:r>
    </w:p>
    <w:p w:rsidR="00C76BF7" w:rsidRPr="00C76BF7" w:rsidRDefault="00C76BF7" w:rsidP="00C76BF7">
      <w:pPr>
        <w:ind w:firstLineChars="200" w:firstLine="640"/>
        <w:rPr>
          <w:rFonts w:ascii="仿宋_GB2312" w:eastAsia="仿宋_GB2312"/>
          <w:color w:val="000000" w:themeColor="text1"/>
          <w:sz w:val="32"/>
          <w:szCs w:val="32"/>
        </w:rPr>
      </w:pPr>
      <w:r w:rsidRPr="00C76BF7">
        <w:rPr>
          <w:rFonts w:ascii="仿宋_GB2312" w:eastAsia="仿宋_GB2312" w:hint="eastAsia"/>
          <w:color w:val="000000" w:themeColor="text1"/>
          <w:sz w:val="32"/>
          <w:szCs w:val="32"/>
        </w:rPr>
        <w:t>日落黄是一种人工合成着色剂，为国家批准使用的食用合成</w:t>
      </w:r>
      <w:r w:rsidRPr="00C76BF7">
        <w:rPr>
          <w:rFonts w:ascii="仿宋_GB2312" w:eastAsia="仿宋_GB2312" w:hint="eastAsia"/>
          <w:color w:val="000000" w:themeColor="text1"/>
          <w:sz w:val="32"/>
          <w:szCs w:val="32"/>
        </w:rPr>
        <w:lastRenderedPageBreak/>
        <w:t>色素,可用于饮料、果冻、糖果等食品的着色。按照《食品安全国家标准 食品添加剂使用标准》（GB 2760—2014）规定，日落黄不允许在肉制品中添加。长期大量食用日落黄超标的食品，可能会对人体肝脏产生一定影响。</w:t>
      </w:r>
    </w:p>
    <w:p w:rsidR="00036D20" w:rsidRPr="00C76BF7" w:rsidRDefault="0096507D" w:rsidP="00F05C73">
      <w:pPr>
        <w:spacing w:line="600" w:lineRule="exact"/>
        <w:ind w:firstLineChars="200" w:firstLine="640"/>
        <w:jc w:val="left"/>
        <w:rPr>
          <w:rFonts w:ascii="黑体" w:eastAsia="黑体" w:hAnsi="黑体" w:cs="Times New Roman"/>
          <w:color w:val="000000" w:themeColor="text1"/>
          <w:sz w:val="32"/>
          <w:szCs w:val="32"/>
        </w:rPr>
      </w:pPr>
      <w:r>
        <w:rPr>
          <w:rFonts w:ascii="黑体" w:eastAsia="黑体" w:hAnsi="黑体" w:cs="Times New Roman" w:hint="eastAsia"/>
          <w:color w:val="000000" w:themeColor="text1"/>
          <w:sz w:val="32"/>
          <w:szCs w:val="32"/>
        </w:rPr>
        <w:t>四</w:t>
      </w:r>
      <w:r w:rsidR="00036D20" w:rsidRPr="00C76BF7">
        <w:rPr>
          <w:rFonts w:ascii="黑体" w:eastAsia="黑体" w:hAnsi="黑体" w:cs="Times New Roman" w:hint="eastAsia"/>
          <w:color w:val="000000" w:themeColor="text1"/>
          <w:sz w:val="32"/>
          <w:szCs w:val="32"/>
        </w:rPr>
        <w:t>、</w:t>
      </w:r>
      <w:r w:rsidR="002B2C85" w:rsidRPr="00C76BF7">
        <w:rPr>
          <w:rFonts w:ascii="黑体" w:eastAsia="黑体" w:hAnsi="黑体" w:cs="Times New Roman" w:hint="eastAsia"/>
          <w:color w:val="000000" w:themeColor="text1"/>
          <w:sz w:val="32"/>
          <w:szCs w:val="32"/>
        </w:rPr>
        <w:t>胭脂红</w:t>
      </w:r>
    </w:p>
    <w:p w:rsidR="00C76BF7" w:rsidRPr="00C76BF7" w:rsidRDefault="00C76BF7" w:rsidP="00F05C73">
      <w:pPr>
        <w:spacing w:line="600" w:lineRule="exact"/>
        <w:ind w:firstLineChars="200" w:firstLine="640"/>
        <w:jc w:val="left"/>
        <w:rPr>
          <w:rFonts w:ascii="Times New Roman" w:eastAsia="仿宋_GB2312" w:hAnsi="Times New Roman" w:cs="Times New Roman"/>
          <w:color w:val="000000" w:themeColor="text1"/>
          <w:sz w:val="32"/>
          <w:szCs w:val="32"/>
        </w:rPr>
      </w:pPr>
      <w:r w:rsidRPr="00C76BF7">
        <w:rPr>
          <w:rFonts w:ascii="仿宋_GB2312" w:eastAsia="仿宋_GB2312" w:hint="eastAsia"/>
          <w:color w:val="000000" w:themeColor="text1"/>
          <w:sz w:val="32"/>
          <w:szCs w:val="32"/>
        </w:rPr>
        <w:t>胭脂红为水溶性合成色素，为国家批准使用的食用合成色素,可用于饮料、糕点、冰激凌等食品的着色。《食品安全国家标准 食品添加剂使用标准》（GB 2760—2014）规定，胭脂红在肉制品的可食用动物肠衣类最大使用量为0.025g/kg，除可食用动物肠衣外，肉制品中均不得添加。长期大量食用胭脂红超标的食品，可能会对人体肝脏产生一定影响。</w:t>
      </w:r>
    </w:p>
    <w:p w:rsidR="00EB5C27" w:rsidRDefault="0096507D" w:rsidP="00EB5C27">
      <w:pPr>
        <w:ind w:firstLineChars="200" w:firstLine="640"/>
        <w:rPr>
          <w:rFonts w:ascii="黑体" w:eastAsia="黑体" w:hAnsi="黑体"/>
          <w:sz w:val="32"/>
          <w:szCs w:val="32"/>
        </w:rPr>
      </w:pPr>
      <w:r>
        <w:rPr>
          <w:rFonts w:ascii="黑体" w:eastAsia="黑体" w:hAnsi="黑体" w:cs="Times New Roman" w:hint="eastAsia"/>
          <w:sz w:val="32"/>
          <w:szCs w:val="32"/>
        </w:rPr>
        <w:t>五</w:t>
      </w:r>
      <w:r w:rsidR="00EB5C27" w:rsidRPr="00D0759D">
        <w:rPr>
          <w:rFonts w:ascii="黑体" w:eastAsia="黑体" w:hAnsi="黑体" w:cs="Times New Roman" w:hint="eastAsia"/>
          <w:sz w:val="32"/>
          <w:szCs w:val="32"/>
        </w:rPr>
        <w:t>、</w:t>
      </w:r>
      <w:r w:rsidR="00EB5C27">
        <w:rPr>
          <w:rFonts w:ascii="黑体" w:eastAsia="黑体" w:hAnsi="黑体" w:hint="eastAsia"/>
          <w:sz w:val="32"/>
          <w:szCs w:val="32"/>
        </w:rPr>
        <w:t>过氧化值</w:t>
      </w:r>
    </w:p>
    <w:p w:rsidR="00EB5C27" w:rsidRDefault="00EB5C27" w:rsidP="00EB5C27">
      <w:pPr>
        <w:ind w:left="1" w:firstLineChars="200" w:firstLine="640"/>
        <w:textAlignment w:val="baseline"/>
        <w:rPr>
          <w:rFonts w:ascii="仿宋_GB2312" w:eastAsia="仿宋_GB2312"/>
          <w:sz w:val="32"/>
          <w:szCs w:val="32"/>
        </w:rPr>
      </w:pPr>
      <w:r w:rsidRPr="000F4094">
        <w:rPr>
          <w:rFonts w:ascii="仿宋_GB2312" w:eastAsia="仿宋_GB2312" w:hAnsi="宋体"/>
          <w:kern w:val="0"/>
          <w:sz w:val="32"/>
          <w:szCs w:val="32"/>
        </w:rPr>
        <w:t>过氧化值主要反映</w:t>
      </w:r>
      <w:r>
        <w:rPr>
          <w:rFonts w:ascii="仿宋_GB2312" w:eastAsia="仿宋_GB2312" w:hAnsi="宋体" w:hint="eastAsia"/>
          <w:kern w:val="0"/>
          <w:sz w:val="32"/>
          <w:szCs w:val="32"/>
        </w:rPr>
        <w:t>食品中</w:t>
      </w:r>
      <w:r w:rsidRPr="000F4094">
        <w:rPr>
          <w:rFonts w:ascii="仿宋_GB2312" w:eastAsia="仿宋_GB2312" w:hAnsi="宋体"/>
          <w:kern w:val="0"/>
          <w:sz w:val="32"/>
          <w:szCs w:val="32"/>
        </w:rPr>
        <w:t>油脂是否氧化变质。随着油脂氧化，过氧化值会逐步升高，虽一般不会对人体的健康产生损害，但严重时会导致肠胃不适、腹泻等症状。</w:t>
      </w:r>
      <w:r w:rsidRPr="000F4094">
        <w:rPr>
          <w:rFonts w:ascii="仿宋_GB2312" w:eastAsia="仿宋_GB2312"/>
          <w:sz w:val="32"/>
          <w:szCs w:val="32"/>
        </w:rPr>
        <w:t>《</w:t>
      </w:r>
      <w:r>
        <w:rPr>
          <w:rFonts w:ascii="仿宋_GB2312" w:eastAsia="仿宋_GB2312" w:hint="eastAsia"/>
          <w:sz w:val="32"/>
          <w:szCs w:val="32"/>
        </w:rPr>
        <w:t>糕点、面包卫生标准</w:t>
      </w:r>
      <w:r w:rsidRPr="000F4094">
        <w:rPr>
          <w:rFonts w:ascii="仿宋_GB2312" w:eastAsia="仿宋_GB2312"/>
          <w:sz w:val="32"/>
          <w:szCs w:val="32"/>
        </w:rPr>
        <w:t>》（</w:t>
      </w:r>
      <w:r>
        <w:rPr>
          <w:rFonts w:ascii="仿宋_GB2312" w:eastAsia="仿宋_GB2312" w:hint="eastAsia"/>
          <w:sz w:val="32"/>
          <w:szCs w:val="32"/>
        </w:rPr>
        <w:t>GB7099—2003</w:t>
      </w:r>
      <w:r w:rsidRPr="000F4094">
        <w:rPr>
          <w:rFonts w:ascii="仿宋_GB2312" w:eastAsia="仿宋_GB2312"/>
          <w:sz w:val="32"/>
          <w:szCs w:val="32"/>
        </w:rPr>
        <w:t>）</w:t>
      </w:r>
      <w:r>
        <w:rPr>
          <w:rFonts w:ascii="仿宋_GB2312" w:eastAsia="仿宋_GB2312" w:hint="eastAsia"/>
          <w:sz w:val="32"/>
          <w:szCs w:val="32"/>
        </w:rPr>
        <w:t>和</w:t>
      </w:r>
      <w:r w:rsidRPr="00026069">
        <w:rPr>
          <w:rFonts w:ascii="仿宋_GB2312" w:eastAsia="仿宋_GB2312" w:hint="eastAsia"/>
          <w:sz w:val="32"/>
          <w:szCs w:val="32"/>
        </w:rPr>
        <w:t>《</w:t>
      </w:r>
      <w:r w:rsidRPr="00026069">
        <w:rPr>
          <w:rFonts w:ascii="仿宋_GB2312" w:eastAsia="仿宋_GB2312"/>
          <w:sz w:val="32"/>
          <w:szCs w:val="32"/>
        </w:rPr>
        <w:t>食品安全国家标准 糕点、面包</w:t>
      </w:r>
      <w:r w:rsidRPr="00026069">
        <w:rPr>
          <w:rFonts w:ascii="仿宋_GB2312" w:eastAsia="仿宋_GB2312" w:hint="eastAsia"/>
          <w:sz w:val="32"/>
          <w:szCs w:val="32"/>
        </w:rPr>
        <w:t>》</w:t>
      </w:r>
      <w:r>
        <w:rPr>
          <w:rFonts w:ascii="仿宋_GB2312" w:eastAsia="仿宋_GB2312" w:hint="eastAsia"/>
          <w:sz w:val="32"/>
          <w:szCs w:val="32"/>
        </w:rPr>
        <w:t>（</w:t>
      </w:r>
      <w:r w:rsidRPr="00026069">
        <w:rPr>
          <w:rFonts w:ascii="仿宋_GB2312" w:eastAsia="仿宋_GB2312"/>
          <w:sz w:val="32"/>
          <w:szCs w:val="32"/>
        </w:rPr>
        <w:t>GB 7099</w:t>
      </w:r>
      <w:r>
        <w:rPr>
          <w:rFonts w:ascii="仿宋_GB2312" w:eastAsia="仿宋_GB2312" w:hint="eastAsia"/>
          <w:sz w:val="32"/>
          <w:szCs w:val="32"/>
        </w:rPr>
        <w:t>—</w:t>
      </w:r>
      <w:r w:rsidRPr="00026069">
        <w:rPr>
          <w:rFonts w:ascii="仿宋_GB2312" w:eastAsia="仿宋_GB2312"/>
          <w:sz w:val="32"/>
          <w:szCs w:val="32"/>
        </w:rPr>
        <w:t>2015</w:t>
      </w:r>
      <w:r>
        <w:rPr>
          <w:rFonts w:ascii="仿宋_GB2312" w:eastAsia="仿宋_GB2312" w:hint="eastAsia"/>
          <w:sz w:val="32"/>
          <w:szCs w:val="32"/>
        </w:rPr>
        <w:t>）</w:t>
      </w:r>
      <w:r w:rsidRPr="00026069">
        <w:rPr>
          <w:rFonts w:ascii="仿宋_GB2312" w:eastAsia="仿宋_GB2312" w:hint="eastAsia"/>
          <w:sz w:val="32"/>
          <w:szCs w:val="32"/>
        </w:rPr>
        <w:t>中规定</w:t>
      </w:r>
      <w:r w:rsidR="003D408E">
        <w:rPr>
          <w:rFonts w:ascii="仿宋_GB2312" w:eastAsia="仿宋_GB2312" w:hint="eastAsia"/>
          <w:sz w:val="32"/>
          <w:szCs w:val="32"/>
        </w:rPr>
        <w:t>，</w:t>
      </w:r>
      <w:r>
        <w:rPr>
          <w:rFonts w:ascii="仿宋_GB2312" w:eastAsia="仿宋_GB2312" w:hint="eastAsia"/>
          <w:sz w:val="32"/>
          <w:szCs w:val="32"/>
        </w:rPr>
        <w:t>糕点</w:t>
      </w:r>
      <w:r w:rsidRPr="00026069">
        <w:rPr>
          <w:rFonts w:ascii="仿宋_GB2312" w:eastAsia="仿宋_GB2312" w:hint="eastAsia"/>
          <w:sz w:val="32"/>
          <w:szCs w:val="32"/>
        </w:rPr>
        <w:t>中的</w:t>
      </w:r>
      <w:r>
        <w:rPr>
          <w:rFonts w:ascii="仿宋_GB2312" w:eastAsia="仿宋_GB2312" w:hint="eastAsia"/>
          <w:sz w:val="32"/>
          <w:szCs w:val="32"/>
        </w:rPr>
        <w:t>过氧化值</w:t>
      </w:r>
      <w:r w:rsidRPr="00026069">
        <w:rPr>
          <w:rFonts w:ascii="仿宋_GB2312" w:eastAsia="仿宋_GB2312" w:hint="eastAsia"/>
          <w:sz w:val="32"/>
          <w:szCs w:val="32"/>
        </w:rPr>
        <w:t>（以脂肪计）应≤</w:t>
      </w:r>
      <w:r>
        <w:rPr>
          <w:rFonts w:ascii="仿宋_GB2312" w:eastAsia="仿宋_GB2312" w:hint="eastAsia"/>
          <w:sz w:val="32"/>
          <w:szCs w:val="32"/>
        </w:rPr>
        <w:t>0.25</w:t>
      </w:r>
      <w:r w:rsidRPr="00026069">
        <w:rPr>
          <w:rFonts w:ascii="仿宋_GB2312" w:eastAsia="仿宋_GB2312" w:hint="eastAsia"/>
          <w:sz w:val="32"/>
          <w:szCs w:val="32"/>
        </w:rPr>
        <w:t>g/</w:t>
      </w:r>
      <w:r>
        <w:rPr>
          <w:rFonts w:ascii="仿宋_GB2312" w:eastAsia="仿宋_GB2312" w:hint="eastAsia"/>
          <w:sz w:val="32"/>
          <w:szCs w:val="32"/>
        </w:rPr>
        <w:t>100</w:t>
      </w:r>
      <w:r w:rsidRPr="00026069">
        <w:rPr>
          <w:rFonts w:ascii="仿宋_GB2312" w:eastAsia="仿宋_GB2312" w:hint="eastAsia"/>
          <w:sz w:val="32"/>
          <w:szCs w:val="32"/>
        </w:rPr>
        <w:t>g。</w:t>
      </w:r>
      <w:r w:rsidRPr="00397CD0">
        <w:rPr>
          <w:rFonts w:ascii="仿宋_GB2312" w:eastAsia="仿宋_GB2312"/>
          <w:sz w:val="32"/>
          <w:szCs w:val="32"/>
        </w:rPr>
        <w:t>过氧化值超标的原因可能是产品用油已经变质，或者产品在储存过程中环境条件控制不当，导致油脂酸败；也可能是原料中的脂肪已经氧化，原料储存不当，未采取有效的抗氧化措施，使得终产品油脂氧化。</w:t>
      </w:r>
    </w:p>
    <w:p w:rsidR="00EB5C27" w:rsidRPr="0075496D" w:rsidRDefault="0096507D" w:rsidP="00EB5C27">
      <w:pPr>
        <w:ind w:firstLineChars="200" w:firstLine="640"/>
        <w:rPr>
          <w:rFonts w:ascii="黑体" w:eastAsia="黑体" w:hAnsi="黑体"/>
          <w:sz w:val="32"/>
          <w:szCs w:val="32"/>
        </w:rPr>
      </w:pPr>
      <w:r>
        <w:rPr>
          <w:rFonts w:ascii="黑体" w:eastAsia="黑体" w:hAnsi="黑体" w:hint="eastAsia"/>
          <w:kern w:val="0"/>
          <w:sz w:val="32"/>
          <w:szCs w:val="32"/>
        </w:rPr>
        <w:lastRenderedPageBreak/>
        <w:t>六</w:t>
      </w:r>
      <w:r w:rsidR="00EB5C27">
        <w:rPr>
          <w:rFonts w:ascii="黑体" w:eastAsia="黑体" w:hAnsi="黑体" w:hint="eastAsia"/>
          <w:kern w:val="0"/>
          <w:sz w:val="32"/>
          <w:szCs w:val="32"/>
        </w:rPr>
        <w:t>、纽甜</w:t>
      </w:r>
    </w:p>
    <w:p w:rsidR="00EB5C27" w:rsidRPr="00CA4BB5" w:rsidRDefault="00EB5C27" w:rsidP="00EB5C27">
      <w:pPr>
        <w:spacing w:line="360" w:lineRule="auto"/>
        <w:ind w:firstLineChars="200" w:firstLine="640"/>
        <w:rPr>
          <w:rFonts w:ascii="仿宋_GB2312" w:eastAsia="仿宋_GB2312"/>
          <w:sz w:val="32"/>
          <w:szCs w:val="32"/>
        </w:rPr>
      </w:pPr>
      <w:r>
        <w:rPr>
          <w:rFonts w:ascii="仿宋_GB2312" w:eastAsia="仿宋_GB2312"/>
          <w:sz w:val="32"/>
          <w:szCs w:val="32"/>
        </w:rPr>
        <w:t>纽甜的化学名称是</w:t>
      </w:r>
      <w:r w:rsidRPr="0077649F">
        <w:rPr>
          <w:rFonts w:ascii="Times New Roman" w:eastAsia="仿宋_GB2312" w:hAnsi="Times New Roman" w:cs="Times New Roman"/>
          <w:sz w:val="32"/>
          <w:szCs w:val="32"/>
        </w:rPr>
        <w:t>N-[N-(3,3</w:t>
      </w:r>
      <w:r>
        <w:rPr>
          <w:rFonts w:ascii="仿宋_GB2312" w:eastAsia="仿宋_GB2312"/>
          <w:sz w:val="32"/>
          <w:szCs w:val="32"/>
        </w:rPr>
        <w:t>-</w:t>
      </w:r>
      <w:r>
        <w:rPr>
          <w:rFonts w:ascii="仿宋_GB2312" w:eastAsia="仿宋_GB2312" w:hint="eastAsia"/>
          <w:sz w:val="32"/>
          <w:szCs w:val="32"/>
        </w:rPr>
        <w:t>二甲基丁基</w:t>
      </w:r>
      <w:r>
        <w:rPr>
          <w:rFonts w:ascii="仿宋_GB2312" w:eastAsia="仿宋_GB2312"/>
          <w:sz w:val="32"/>
          <w:szCs w:val="32"/>
        </w:rPr>
        <w:t>)]-</w:t>
      </w:r>
      <w:r w:rsidRPr="0077649F">
        <w:rPr>
          <w:rFonts w:ascii="Times New Roman" w:eastAsia="仿宋_GB2312" w:hAnsi="Times New Roman" w:cs="Times New Roman"/>
          <w:sz w:val="32"/>
          <w:szCs w:val="32"/>
        </w:rPr>
        <w:t>L</w:t>
      </w:r>
      <w:r>
        <w:rPr>
          <w:rFonts w:ascii="仿宋_GB2312" w:eastAsia="仿宋_GB2312"/>
          <w:sz w:val="32"/>
          <w:szCs w:val="32"/>
        </w:rPr>
        <w:t>-</w:t>
      </w:r>
      <w:r w:rsidRPr="0077649F">
        <w:rPr>
          <w:rFonts w:ascii="Times New Roman" w:eastAsia="仿宋_GB2312" w:hAnsi="Times New Roman" w:cs="Times New Roman"/>
          <w:sz w:val="32"/>
          <w:szCs w:val="32"/>
        </w:rPr>
        <w:t>α</w:t>
      </w:r>
      <w:r>
        <w:rPr>
          <w:rFonts w:ascii="仿宋_GB2312" w:eastAsia="仿宋_GB2312"/>
          <w:sz w:val="32"/>
          <w:szCs w:val="32"/>
        </w:rPr>
        <w:t>-</w:t>
      </w:r>
      <w:r>
        <w:rPr>
          <w:rFonts w:ascii="仿宋_GB2312" w:eastAsia="仿宋_GB2312" w:hint="eastAsia"/>
          <w:sz w:val="32"/>
          <w:szCs w:val="32"/>
        </w:rPr>
        <w:t>天门冬氨</w:t>
      </w:r>
      <w:r>
        <w:rPr>
          <w:rFonts w:ascii="仿宋_GB2312" w:eastAsia="仿宋_GB2312"/>
          <w:sz w:val="32"/>
          <w:szCs w:val="32"/>
        </w:rPr>
        <w:t>-</w:t>
      </w:r>
      <w:r w:rsidRPr="0077649F">
        <w:rPr>
          <w:rFonts w:ascii="Times New Roman" w:eastAsia="仿宋_GB2312" w:hAnsi="Times New Roman" w:cs="Times New Roman"/>
          <w:sz w:val="32"/>
          <w:szCs w:val="32"/>
        </w:rPr>
        <w:t>L</w:t>
      </w:r>
      <w:r>
        <w:rPr>
          <w:rFonts w:ascii="仿宋_GB2312" w:eastAsia="仿宋_GB2312"/>
          <w:sz w:val="32"/>
          <w:szCs w:val="32"/>
        </w:rPr>
        <w:t>-</w:t>
      </w:r>
      <w:r>
        <w:rPr>
          <w:rFonts w:ascii="仿宋_GB2312" w:eastAsia="仿宋_GB2312" w:hint="eastAsia"/>
          <w:sz w:val="32"/>
          <w:szCs w:val="32"/>
        </w:rPr>
        <w:t>苯丙氨酸</w:t>
      </w:r>
      <w:r w:rsidRPr="0077649F">
        <w:rPr>
          <w:rFonts w:ascii="Times New Roman" w:eastAsia="仿宋_GB2312" w:hAnsi="Times New Roman" w:cs="Times New Roman"/>
          <w:sz w:val="32"/>
          <w:szCs w:val="32"/>
        </w:rPr>
        <w:t>1</w:t>
      </w:r>
      <w:r>
        <w:rPr>
          <w:rFonts w:ascii="仿宋_GB2312" w:eastAsia="仿宋_GB2312"/>
          <w:sz w:val="32"/>
          <w:szCs w:val="32"/>
        </w:rPr>
        <w:t>-</w:t>
      </w:r>
      <w:r>
        <w:rPr>
          <w:rFonts w:ascii="仿宋_GB2312" w:eastAsia="仿宋_GB2312" w:hint="eastAsia"/>
          <w:sz w:val="32"/>
          <w:szCs w:val="32"/>
        </w:rPr>
        <w:t>甲酯，</w:t>
      </w:r>
      <w:r w:rsidRPr="00BA252B">
        <w:rPr>
          <w:rFonts w:ascii="仿宋_GB2312" w:eastAsia="仿宋_GB2312" w:hAnsi="宋体" w:cs="Times New Roman" w:hint="eastAsia"/>
          <w:kern w:val="0"/>
          <w:sz w:val="32"/>
          <w:szCs w:val="32"/>
        </w:rPr>
        <w:t>是食品加工中常用</w:t>
      </w:r>
      <w:r>
        <w:rPr>
          <w:rFonts w:ascii="仿宋_GB2312" w:eastAsia="仿宋_GB2312" w:hAnsi="宋体" w:cs="Times New Roman" w:hint="eastAsia"/>
          <w:kern w:val="0"/>
          <w:sz w:val="32"/>
          <w:szCs w:val="32"/>
        </w:rPr>
        <w:t>的</w:t>
      </w:r>
      <w:r>
        <w:rPr>
          <w:rFonts w:ascii="仿宋_GB2312" w:eastAsia="仿宋_GB2312" w:hint="eastAsia"/>
          <w:sz w:val="32"/>
          <w:szCs w:val="32"/>
        </w:rPr>
        <w:t>甜味剂。《食品安全国家标准 食品添加剂使用标准》（</w:t>
      </w:r>
      <w:r w:rsidRPr="0077649F">
        <w:rPr>
          <w:rFonts w:ascii="Times New Roman" w:eastAsia="仿宋_GB2312" w:hAnsi="Times New Roman" w:cs="Times New Roman"/>
          <w:sz w:val="32"/>
          <w:szCs w:val="32"/>
        </w:rPr>
        <w:t>GB2760</w:t>
      </w:r>
      <w:r w:rsidRPr="0077649F">
        <w:rPr>
          <w:rFonts w:ascii="Times New Roman" w:eastAsia="仿宋_GB2312" w:hAnsi="Times New Roman" w:cs="Times New Roman"/>
          <w:color w:val="000000"/>
          <w:sz w:val="32"/>
          <w:szCs w:val="32"/>
        </w:rPr>
        <w:t>—</w:t>
      </w:r>
      <w:r w:rsidRPr="0077649F">
        <w:rPr>
          <w:rFonts w:ascii="Times New Roman" w:eastAsia="仿宋_GB2312" w:hAnsi="Times New Roman" w:cs="Times New Roman"/>
          <w:sz w:val="32"/>
          <w:szCs w:val="32"/>
        </w:rPr>
        <w:t>2014</w:t>
      </w:r>
      <w:r>
        <w:rPr>
          <w:rFonts w:ascii="仿宋_GB2312" w:eastAsia="仿宋_GB2312" w:hint="eastAsia"/>
          <w:sz w:val="32"/>
          <w:szCs w:val="32"/>
        </w:rPr>
        <w:t>）</w:t>
      </w:r>
      <w:r w:rsidRPr="00BA252B">
        <w:rPr>
          <w:rFonts w:ascii="仿宋_GB2312" w:eastAsia="仿宋_GB2312" w:hAnsi="Calibri" w:cs="Times New Roman" w:hint="eastAsia"/>
          <w:sz w:val="32"/>
          <w:szCs w:val="32"/>
        </w:rPr>
        <w:t>中规定</w:t>
      </w:r>
      <w:r>
        <w:rPr>
          <w:rFonts w:ascii="仿宋_GB2312" w:eastAsia="仿宋_GB2312" w:hint="eastAsia"/>
          <w:sz w:val="32"/>
          <w:szCs w:val="32"/>
        </w:rPr>
        <w:t>白酒不得使用。</w:t>
      </w:r>
      <w:r w:rsidRPr="00CA4BB5">
        <w:rPr>
          <w:rFonts w:ascii="仿宋_GB2312" w:eastAsia="仿宋_GB2312" w:hAnsi="Calibri" w:cs="Times New Roman" w:hint="eastAsia"/>
          <w:sz w:val="32"/>
          <w:szCs w:val="32"/>
        </w:rPr>
        <w:t>造成不合格的原因是生产企业为降低成本、增加产品的口感，在产品中添加</w:t>
      </w:r>
      <w:r>
        <w:rPr>
          <w:rFonts w:ascii="仿宋_GB2312" w:eastAsia="仿宋_GB2312"/>
          <w:sz w:val="32"/>
          <w:szCs w:val="32"/>
        </w:rPr>
        <w:t>纽甜</w:t>
      </w:r>
      <w:r w:rsidRPr="00CA4BB5">
        <w:rPr>
          <w:rFonts w:ascii="仿宋_GB2312" w:eastAsia="仿宋_GB2312" w:hAnsi="Calibri" w:cs="Times New Roman" w:hint="eastAsia"/>
          <w:sz w:val="32"/>
          <w:szCs w:val="32"/>
        </w:rPr>
        <w:t>来调节口感。</w:t>
      </w:r>
    </w:p>
    <w:p w:rsidR="00036D20" w:rsidRPr="00EB5C27" w:rsidRDefault="00036D20" w:rsidP="00F05C73">
      <w:pPr>
        <w:spacing w:line="600" w:lineRule="exact"/>
        <w:ind w:firstLineChars="200" w:firstLine="640"/>
        <w:jc w:val="left"/>
        <w:rPr>
          <w:rFonts w:ascii="Times New Roman" w:eastAsia="仿宋_GB2312" w:hAnsi="Times New Roman" w:cs="Times New Roman"/>
          <w:sz w:val="32"/>
          <w:szCs w:val="32"/>
        </w:rPr>
      </w:pPr>
    </w:p>
    <w:p w:rsidR="002A6787" w:rsidRPr="00F1553E" w:rsidRDefault="002A6787" w:rsidP="00F1553E">
      <w:pPr>
        <w:spacing w:line="80" w:lineRule="exact"/>
        <w:rPr>
          <w:rFonts w:ascii="仿宋_GB2312" w:eastAsia="仿宋_GB2312" w:hAnsi="宋体"/>
          <w:sz w:val="28"/>
          <w:szCs w:val="28"/>
        </w:rPr>
      </w:pPr>
    </w:p>
    <w:sectPr w:rsidR="002A6787" w:rsidRPr="00F1553E" w:rsidSect="00CD5518">
      <w:footerReference w:type="default" r:id="rId8"/>
      <w:pgSz w:w="11906" w:h="16838"/>
      <w:pgMar w:top="1928" w:right="1531" w:bottom="1814"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8D6" w:rsidRDefault="007F48D6">
      <w:r>
        <w:separator/>
      </w:r>
    </w:p>
  </w:endnote>
  <w:endnote w:type="continuationSeparator" w:id="1">
    <w:p w:rsidR="007F48D6" w:rsidRDefault="007F4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087551"/>
    </w:sdtPr>
    <w:sdtContent>
      <w:p w:rsidR="002A6787" w:rsidRDefault="00C57424">
        <w:pPr>
          <w:pStyle w:val="a4"/>
          <w:jc w:val="center"/>
        </w:pPr>
        <w:r>
          <w:fldChar w:fldCharType="begin"/>
        </w:r>
        <w:r w:rsidR="004D6D8C">
          <w:instrText>PAGE   \* MERGEFORMAT</w:instrText>
        </w:r>
        <w:r>
          <w:fldChar w:fldCharType="separate"/>
        </w:r>
        <w:r w:rsidR="00FF58EA" w:rsidRPr="00FF58EA">
          <w:rPr>
            <w:noProof/>
            <w:lang w:val="zh-CN"/>
          </w:rPr>
          <w:t>2</w:t>
        </w:r>
        <w:r>
          <w:fldChar w:fldCharType="end"/>
        </w:r>
      </w:p>
    </w:sdtContent>
  </w:sdt>
  <w:p w:rsidR="002A6787" w:rsidRDefault="002A678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8D6" w:rsidRDefault="007F48D6">
      <w:r>
        <w:separator/>
      </w:r>
    </w:p>
  </w:footnote>
  <w:footnote w:type="continuationSeparator" w:id="1">
    <w:p w:rsidR="007F48D6" w:rsidRDefault="007F4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E45F03"/>
    <w:rsid w:val="00036584"/>
    <w:rsid w:val="00036D20"/>
    <w:rsid w:val="00057C9D"/>
    <w:rsid w:val="000800AE"/>
    <w:rsid w:val="000960A5"/>
    <w:rsid w:val="00097E5A"/>
    <w:rsid w:val="000A1CA7"/>
    <w:rsid w:val="000B6096"/>
    <w:rsid w:val="000C00DC"/>
    <w:rsid w:val="000D287B"/>
    <w:rsid w:val="000E3A94"/>
    <w:rsid w:val="00102897"/>
    <w:rsid w:val="00113712"/>
    <w:rsid w:val="00156C2C"/>
    <w:rsid w:val="001570A9"/>
    <w:rsid w:val="0027627B"/>
    <w:rsid w:val="002A6787"/>
    <w:rsid w:val="002B2C85"/>
    <w:rsid w:val="002C0406"/>
    <w:rsid w:val="003204A5"/>
    <w:rsid w:val="00333515"/>
    <w:rsid w:val="003377ED"/>
    <w:rsid w:val="00346C49"/>
    <w:rsid w:val="00357F27"/>
    <w:rsid w:val="0038633A"/>
    <w:rsid w:val="003A74FA"/>
    <w:rsid w:val="003C099F"/>
    <w:rsid w:val="003D0B14"/>
    <w:rsid w:val="003D408E"/>
    <w:rsid w:val="003D6F4F"/>
    <w:rsid w:val="003E182B"/>
    <w:rsid w:val="003F6FCD"/>
    <w:rsid w:val="00417336"/>
    <w:rsid w:val="00457D30"/>
    <w:rsid w:val="004D6D8C"/>
    <w:rsid w:val="004F3122"/>
    <w:rsid w:val="004F7510"/>
    <w:rsid w:val="00501596"/>
    <w:rsid w:val="00506EEA"/>
    <w:rsid w:val="005771A5"/>
    <w:rsid w:val="005B4389"/>
    <w:rsid w:val="005C48B9"/>
    <w:rsid w:val="005D7D45"/>
    <w:rsid w:val="005F6AB2"/>
    <w:rsid w:val="006360F5"/>
    <w:rsid w:val="00656EA2"/>
    <w:rsid w:val="00665E0C"/>
    <w:rsid w:val="00687316"/>
    <w:rsid w:val="0069030F"/>
    <w:rsid w:val="006A6837"/>
    <w:rsid w:val="006F32DE"/>
    <w:rsid w:val="0077575E"/>
    <w:rsid w:val="0077710D"/>
    <w:rsid w:val="00782632"/>
    <w:rsid w:val="00783A82"/>
    <w:rsid w:val="007F48D6"/>
    <w:rsid w:val="00804CA1"/>
    <w:rsid w:val="00823A9C"/>
    <w:rsid w:val="008448AE"/>
    <w:rsid w:val="00854D09"/>
    <w:rsid w:val="00860C48"/>
    <w:rsid w:val="00880F04"/>
    <w:rsid w:val="00895177"/>
    <w:rsid w:val="008A7D28"/>
    <w:rsid w:val="008D7ECA"/>
    <w:rsid w:val="00910447"/>
    <w:rsid w:val="009125A7"/>
    <w:rsid w:val="0092760E"/>
    <w:rsid w:val="00933A31"/>
    <w:rsid w:val="0096507D"/>
    <w:rsid w:val="009960AD"/>
    <w:rsid w:val="009B17D9"/>
    <w:rsid w:val="009B2B3B"/>
    <w:rsid w:val="009C78F5"/>
    <w:rsid w:val="009E0C03"/>
    <w:rsid w:val="00A1575B"/>
    <w:rsid w:val="00AA1305"/>
    <w:rsid w:val="00AB7501"/>
    <w:rsid w:val="00AC1A0C"/>
    <w:rsid w:val="00AE7A33"/>
    <w:rsid w:val="00AF7C43"/>
    <w:rsid w:val="00B04363"/>
    <w:rsid w:val="00B2683B"/>
    <w:rsid w:val="00B2770C"/>
    <w:rsid w:val="00B30AAD"/>
    <w:rsid w:val="00B92D7D"/>
    <w:rsid w:val="00B949BB"/>
    <w:rsid w:val="00BC4E4C"/>
    <w:rsid w:val="00C51180"/>
    <w:rsid w:val="00C57424"/>
    <w:rsid w:val="00C76BF7"/>
    <w:rsid w:val="00C945C2"/>
    <w:rsid w:val="00CA4F2E"/>
    <w:rsid w:val="00CD5518"/>
    <w:rsid w:val="00CE13D2"/>
    <w:rsid w:val="00CF0D96"/>
    <w:rsid w:val="00CF40DE"/>
    <w:rsid w:val="00D0759D"/>
    <w:rsid w:val="00D417A6"/>
    <w:rsid w:val="00D41D67"/>
    <w:rsid w:val="00D46205"/>
    <w:rsid w:val="00D75ACB"/>
    <w:rsid w:val="00DB35A6"/>
    <w:rsid w:val="00E06234"/>
    <w:rsid w:val="00E17E84"/>
    <w:rsid w:val="00E31D88"/>
    <w:rsid w:val="00E45F03"/>
    <w:rsid w:val="00E610CF"/>
    <w:rsid w:val="00E764E7"/>
    <w:rsid w:val="00EB5C27"/>
    <w:rsid w:val="00F05C73"/>
    <w:rsid w:val="00F07436"/>
    <w:rsid w:val="00F1553E"/>
    <w:rsid w:val="00F21826"/>
    <w:rsid w:val="00F5535A"/>
    <w:rsid w:val="00F56DA2"/>
    <w:rsid w:val="00FE1ED3"/>
    <w:rsid w:val="00FF58EA"/>
    <w:rsid w:val="07107AFC"/>
    <w:rsid w:val="0FAA3555"/>
    <w:rsid w:val="183015E8"/>
    <w:rsid w:val="25264285"/>
    <w:rsid w:val="3015654A"/>
    <w:rsid w:val="43B576DD"/>
    <w:rsid w:val="4510012C"/>
    <w:rsid w:val="4FA37E96"/>
    <w:rsid w:val="6095650F"/>
    <w:rsid w:val="675337A2"/>
    <w:rsid w:val="746C1D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18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C51180"/>
    <w:pPr>
      <w:jc w:val="left"/>
    </w:pPr>
  </w:style>
  <w:style w:type="paragraph" w:styleId="a4">
    <w:name w:val="footer"/>
    <w:basedOn w:val="a"/>
    <w:link w:val="Char"/>
    <w:uiPriority w:val="99"/>
    <w:unhideWhenUsed/>
    <w:qFormat/>
    <w:rsid w:val="00C51180"/>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C51180"/>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C51180"/>
    <w:pPr>
      <w:spacing w:beforeAutospacing="1" w:afterAutospacing="1"/>
      <w:jc w:val="left"/>
    </w:pPr>
    <w:rPr>
      <w:rFonts w:cs="Times New Roman"/>
      <w:kern w:val="0"/>
      <w:sz w:val="24"/>
    </w:rPr>
  </w:style>
  <w:style w:type="character" w:customStyle="1" w:styleId="Char0">
    <w:name w:val="页眉 Char"/>
    <w:basedOn w:val="a0"/>
    <w:link w:val="a5"/>
    <w:uiPriority w:val="99"/>
    <w:qFormat/>
    <w:rsid w:val="00C51180"/>
    <w:rPr>
      <w:sz w:val="18"/>
      <w:szCs w:val="18"/>
    </w:rPr>
  </w:style>
  <w:style w:type="character" w:customStyle="1" w:styleId="Char">
    <w:name w:val="页脚 Char"/>
    <w:basedOn w:val="a0"/>
    <w:link w:val="a4"/>
    <w:uiPriority w:val="99"/>
    <w:qFormat/>
    <w:rsid w:val="00C51180"/>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99"/>
    <w:rsid w:val="00CA4F2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footer"/>
    <w:basedOn w:val="a"/>
    <w:link w:val="Char"/>
    <w:uiPriority w:val="99"/>
    <w:unhideWhenUsed/>
    <w:qFormat/>
    <w:pPr>
      <w:tabs>
        <w:tab w:val="center" w:pos="4153"/>
        <w:tab w:val="right" w:pos="8306"/>
      </w:tabs>
      <w:snapToGrid w:val="0"/>
      <w:jc w:val="left"/>
    </w:pPr>
    <w:rPr>
      <w:sz w:val="18"/>
      <w:szCs w:val="18"/>
    </w:rPr>
  </w:style>
  <w:style w:type="paragraph" w:styleId="a5">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Autospacing="1" w:afterAutospacing="1"/>
      <w:jc w:val="left"/>
    </w:pPr>
    <w:rPr>
      <w:rFonts w:cs="Times New Roman"/>
      <w:kern w:val="0"/>
      <w:sz w:val="24"/>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Balloon Text"/>
    <w:basedOn w:val="a"/>
    <w:link w:val="Char1"/>
    <w:uiPriority w:val="99"/>
    <w:semiHidden/>
    <w:unhideWhenUsed/>
    <w:rsid w:val="00B30AAD"/>
    <w:rPr>
      <w:sz w:val="18"/>
      <w:szCs w:val="18"/>
    </w:rPr>
  </w:style>
  <w:style w:type="character" w:customStyle="1" w:styleId="Char1">
    <w:name w:val="批注框文本 Char"/>
    <w:basedOn w:val="a0"/>
    <w:link w:val="a7"/>
    <w:uiPriority w:val="99"/>
    <w:semiHidden/>
    <w:rsid w:val="00B30AAD"/>
    <w:rPr>
      <w:rFonts w:asciiTheme="minorHAnsi" w:eastAsiaTheme="minorEastAsia" w:hAnsiTheme="minorHAnsi" w:cstheme="minorBidi"/>
      <w:kern w:val="2"/>
      <w:sz w:val="18"/>
      <w:szCs w:val="18"/>
    </w:rPr>
  </w:style>
  <w:style w:type="paragraph" w:styleId="a8">
    <w:name w:val="List Paragraph"/>
    <w:basedOn w:val="a"/>
    <w:uiPriority w:val="99"/>
    <w:rsid w:val="00CA4F2E"/>
    <w:pPr>
      <w:ind w:firstLineChars="200" w:firstLine="420"/>
    </w:pPr>
  </w:style>
</w:styles>
</file>

<file path=word/webSettings.xml><?xml version="1.0" encoding="utf-8"?>
<w:webSettings xmlns:r="http://schemas.openxmlformats.org/officeDocument/2006/relationships" xmlns:w="http://schemas.openxmlformats.org/wordprocessingml/2006/main">
  <w:divs>
    <w:div w:id="7297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E80CD5-AE8F-4700-BF90-4A0951B1B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Pages>
  <Words>169</Words>
  <Characters>968</Characters>
  <Application>Microsoft Office Word</Application>
  <DocSecurity>0</DocSecurity>
  <Lines>8</Lines>
  <Paragraphs>2</Paragraphs>
  <ScaleCrop>false</ScaleCrop>
  <Company>http://sdwm.org</Company>
  <LinksUpToDate>false</LinksUpToDate>
  <CharactersWithSpaces>1135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SDWM</dc:creator>
  <cp:lastModifiedBy>wxl</cp:lastModifiedBy>
  <cp:revision>24</cp:revision>
  <cp:lastPrinted>2017-01-10T00:46:00Z</cp:lastPrinted>
  <dcterms:created xsi:type="dcterms:W3CDTF">2016-12-08T03:00:00Z</dcterms:created>
  <dcterms:modified xsi:type="dcterms:W3CDTF">2017-01-16T08:33:00Z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