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</w:p>
    <w:p>
      <w:pPr>
        <w:jc w:val="center"/>
        <w:rPr>
          <w:rFonts w:ascii="方正小标宋简体" w:hAnsi="仿宋_GB2312" w:eastAsia="方正小标宋简体" w:cs="仿宋_GB2312"/>
          <w:bCs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</w:rPr>
        <w:t>2018年度国家文化创新工程项目储备库出库名单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（排名不分先后）</w:t>
      </w:r>
    </w:p>
    <w:tbl>
      <w:tblPr>
        <w:tblW w:w="13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864"/>
        <w:gridCol w:w="5657"/>
        <w:gridCol w:w="1276"/>
        <w:gridCol w:w="3543"/>
        <w:gridCol w:w="2268"/>
      </w:tblGrid>
      <w:tr>
        <w:trPr>
          <w:cantSplit/>
          <w:trHeight w:val="525" w:hRule="atLeas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>
        <w:trPr>
          <w:cantSplit/>
          <w:trHeight w:val="660" w:hRule="atLeas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虚拟样机技术在舞台机械设计中的应用研究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北京东方高科舞台科技有限公司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北京市文化局</w:t>
            </w:r>
          </w:p>
        </w:tc>
      </w:tr>
      <w:tr>
        <w:trPr>
          <w:cantSplit/>
          <w:trHeight w:val="1060" w:hRule="atLeas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基于《天工开物·彰施》的传统染色技艺复原与挖掘研究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北京服装学院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北京市文化局</w:t>
            </w:r>
          </w:p>
        </w:tc>
      </w:tr>
      <w:tr>
        <w:trPr>
          <w:cantSplit/>
          <w:trHeight w:val="743" w:hRule="atLeas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下一代剧场研究——多媒体技术与现实剧场的结合与应用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上海大剧院管理有限公司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上海市文化广播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影视管理局</w:t>
            </w:r>
          </w:p>
        </w:tc>
      </w:tr>
      <w:tr>
        <w:trPr>
          <w:cantSplit/>
          <w:trHeight w:val="612" w:hRule="atLeas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漆器文物活化新技术研究与培育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扬州漆器厂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江苏省文化厅</w:t>
            </w:r>
          </w:p>
        </w:tc>
      </w:tr>
      <w:tr>
        <w:trPr>
          <w:cantSplit/>
          <w:trHeight w:val="563" w:hRule="atLeas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基于精准定位的自动追光系统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浙江大丰实业股份有限公司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浙江省文化厅</w:t>
            </w:r>
          </w:p>
        </w:tc>
      </w:tr>
      <w:tr>
        <w:trPr>
          <w:cantSplit/>
          <w:trHeight w:val="589" w:hRule="atLeas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中国龙泉青瓷创新工艺研究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丽水学院中国青瓷学院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浙江省文化厅</w:t>
            </w:r>
          </w:p>
        </w:tc>
      </w:tr>
      <w:tr>
        <w:trPr>
          <w:cantSplit/>
          <w:trHeight w:val="709" w:hRule="atLeas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黄梅戏文化教育多媒体资源开发及平台建设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安徽再芬黄梅文化艺术股份有限公司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安徽省文化厅</w:t>
            </w:r>
          </w:p>
        </w:tc>
      </w:tr>
      <w:tr>
        <w:trPr>
          <w:cantSplit/>
          <w:trHeight w:val="672" w:hRule="atLeas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山东省文化版权交易中心平台研发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山东文化传媒有限公司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山东省文化厅</w:t>
            </w:r>
          </w:p>
        </w:tc>
      </w:tr>
      <w:tr>
        <w:trPr>
          <w:cantSplit/>
          <w:trHeight w:val="649" w:hRule="atLeas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文化发展智库支撑平台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湖北大学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湖北省文化厅</w:t>
            </w:r>
          </w:p>
        </w:tc>
      </w:tr>
      <w:tr>
        <w:trPr>
          <w:cantSplit/>
          <w:trHeight w:val="649" w:hRule="atLeas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基于数字技术的可移动文物智能修复平台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湖南省博物馆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湖南省文化厅</w:t>
            </w:r>
          </w:p>
        </w:tc>
      </w:tr>
      <w:tr>
        <w:trPr>
          <w:cantSplit/>
          <w:trHeight w:val="863" w:hRule="atLeas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面向文化演艺领域的智能分布式灯光供电系统研发及产业化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广州励丰文化科技股份有限公司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广东省文化厅</w:t>
            </w:r>
          </w:p>
        </w:tc>
      </w:tr>
      <w:tr>
        <w:trPr>
          <w:cantSplit/>
          <w:trHeight w:val="720" w:hRule="atLeas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高寒地区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LED效果照明特殊专用灯具研发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广州市珠江灯光科技有限公司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广东省文化厅</w:t>
            </w:r>
          </w:p>
        </w:tc>
      </w:tr>
      <w:tr>
        <w:trPr>
          <w:cantSplit/>
          <w:trHeight w:val="923" w:hRule="atLeas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“互联网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+”时代下广西地区少数民族织锦的数字化及“活态传承”的创新研发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广西壮族自治区工艺美术研究所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广西壮族自治区文化厅</w:t>
            </w:r>
          </w:p>
        </w:tc>
      </w:tr>
      <w:tr>
        <w:trPr>
          <w:cantSplit/>
          <w:trHeight w:val="552" w:hRule="atLeas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人工智能技术在音乐领域的应用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中央音乐学院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中央音乐学院</w:t>
            </w:r>
          </w:p>
        </w:tc>
      </w:tr>
      <w:tr>
        <w:trPr>
          <w:cantSplit/>
          <w:trHeight w:val="612" w:hRule="atLeas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沉浸式虚拟现实跨媒体展演工程系统开发项目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上海音乐学院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上海音乐学院</w:t>
            </w:r>
          </w:p>
        </w:tc>
      </w:tr>
    </w:tbl>
    <w:p>
      <w:pPr>
        <w:widowControl/>
        <w:spacing w:line="500" w:lineRule="exact"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 Char"/>
    <w:basedOn w:val="5"/>
    <w:link w:val="4"/>
    <w:uiPriority w:val="99"/>
    <w:rPr>
      <w:sz w:val="18"/>
      <w:szCs w:val="18"/>
    </w:rPr>
  </w:style>
  <w:style w:type="character" w:customStyle="1" w:styleId="7">
    <w:name w:val="页脚 Char Char"/>
    <w:basedOn w:val="5"/>
    <w:link w:val="3"/>
    <w:uiPriority w:val="99"/>
    <w:rPr>
      <w:sz w:val="18"/>
      <w:szCs w:val="18"/>
    </w:rPr>
  </w:style>
  <w:style w:type="character" w:customStyle="1" w:styleId="8">
    <w:name w:val="批注框文本 Char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648</Characters>
  <Lines>5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2018-07-06T09:51:00Z</dcterms:created>
  <dc:creator>WIN7</dc:creator>
  <cp:lastModifiedBy>goveditor</cp:lastModifiedBy>
  <dcterms:modified xsi:type="dcterms:W3CDTF">2018-07-24T02:36:29Z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