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jc w:val="left"/>
        <w:rPr>
          <w:rFonts w:ascii="黑体" w:hAnsi="黑体" w:eastAsia="黑体" w:cs="黑体"/>
          <w:spacing w:val="4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adjustRightInd w:val="0"/>
        <w:snapToGrid w:val="0"/>
        <w:spacing w:before="156" w:beforeLines="50" w:after="156" w:afterLines="50"/>
        <w:rPr>
          <w:rFonts w:ascii="黑体" w:eastAsia="黑体" w:cs="黑体"/>
          <w:spacing w:val="40"/>
          <w:sz w:val="52"/>
          <w:szCs w:val="52"/>
        </w:rPr>
      </w:pPr>
    </w:p>
    <w:p>
      <w:pPr>
        <w:adjustRightInd w:val="0"/>
        <w:snapToGrid w:val="0"/>
        <w:spacing w:before="156" w:beforeLines="50" w:after="156" w:afterLines="50"/>
        <w:rPr>
          <w:rFonts w:ascii="黑体" w:eastAsia="黑体" w:cs="黑体"/>
          <w:spacing w:val="40"/>
          <w:sz w:val="52"/>
          <w:szCs w:val="52"/>
        </w:rPr>
      </w:pPr>
    </w:p>
    <w:p>
      <w:pPr>
        <w:spacing w:before="156" w:beforeLines="50" w:after="156" w:afterLines="50" w:line="19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 w:cs="黑体"/>
          <w:spacing w:val="40"/>
          <w:sz w:val="52"/>
          <w:szCs w:val="52"/>
        </w:rPr>
        <w:t>工业和信息化</w:t>
      </w:r>
      <w:r>
        <w:rPr>
          <w:rFonts w:hint="eastAsia" w:ascii="黑体" w:eastAsia="黑体"/>
          <w:spacing w:val="40"/>
          <w:sz w:val="52"/>
        </w:rPr>
        <w:t>部</w:t>
      </w:r>
    </w:p>
    <w:p>
      <w:pPr>
        <w:spacing w:before="156" w:beforeLines="50" w:after="156" w:afterLines="50" w:line="19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</w:t>
      </w:r>
      <w:r>
        <w:rPr>
          <w:rFonts w:hint="eastAsia" w:ascii="黑体" w:eastAsia="黑体" w:cs="黑体"/>
          <w:spacing w:val="40"/>
          <w:sz w:val="52"/>
          <w:szCs w:val="52"/>
        </w:rPr>
        <w:t>018年第</w:t>
      </w:r>
      <w:r>
        <w:rPr>
          <w:rFonts w:hint="eastAsia" w:ascii="黑体" w:eastAsia="黑体" w:cs="黑体"/>
          <w:spacing w:val="40"/>
          <w:sz w:val="52"/>
          <w:szCs w:val="52"/>
          <w:lang w:eastAsia="zh-CN"/>
        </w:rPr>
        <w:t>五</w:t>
      </w:r>
      <w:r>
        <w:rPr>
          <w:rFonts w:hint="eastAsia" w:ascii="黑体" w:eastAsia="黑体" w:cs="黑体"/>
          <w:spacing w:val="40"/>
          <w:sz w:val="52"/>
          <w:szCs w:val="52"/>
        </w:rPr>
        <w:t>批行业标准制修订计</w:t>
      </w:r>
      <w:r>
        <w:rPr>
          <w:rFonts w:hint="eastAsia" w:ascii="黑体" w:eastAsia="黑体"/>
          <w:spacing w:val="40"/>
          <w:sz w:val="52"/>
        </w:rPr>
        <w:t>划</w:t>
      </w:r>
    </w:p>
    <w:p>
      <w:pPr>
        <w:spacing w:before="156" w:beforeLines="50" w:after="156" w:afterLines="50" w:line="19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19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19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19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</w:t>
      </w:r>
    </w:p>
    <w:p>
      <w:pPr>
        <w:spacing w:before="156" w:after="156" w:line="19" w:lineRule="auto"/>
        <w:jc w:val="center"/>
        <w:rPr>
          <w:rFonts w:hint="eastAsia"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二○一八年十二月</w:t>
      </w:r>
    </w:p>
    <w:p>
      <w:pPr>
        <w:spacing w:line="20" w:lineRule="auto"/>
        <w:jc w:val="center"/>
        <w:rPr>
          <w:rFonts w:ascii="宋体" w:hAnsi="宋体"/>
          <w:b/>
          <w:sz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宋体" w:hAnsi="宋体"/>
          <w:b/>
          <w:sz w:val="44"/>
        </w:rPr>
        <w:t>简 要 说 明</w:t>
      </w:r>
    </w:p>
    <w:p>
      <w:pPr>
        <w:spacing w:line="20" w:lineRule="auto"/>
        <w:rPr>
          <w:rFonts w:ascii="宋体" w:hAnsi="宋体"/>
          <w:sz w:val="44"/>
        </w:rPr>
      </w:pP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为做好工业通信业标准化工作，我们组织编制了2018年第</w:t>
      </w:r>
      <w:r>
        <w:rPr>
          <w:rFonts w:hint="eastAsia" w:ascii="宋体" w:hAnsi="宋体" w:cs="宋体"/>
          <w:sz w:val="24"/>
          <w:szCs w:val="24"/>
          <w:lang w:eastAsia="zh-CN"/>
        </w:rPr>
        <w:t>五</w:t>
      </w:r>
      <w:r>
        <w:rPr>
          <w:rFonts w:hint="eastAsia" w:ascii="宋体" w:hAnsi="宋体" w:cs="宋体"/>
          <w:sz w:val="24"/>
          <w:szCs w:val="24"/>
        </w:rPr>
        <w:t>批行业标准制修订计划。</w:t>
      </w:r>
    </w:p>
    <w:p>
      <w:pPr>
        <w:adjustRightInd w:val="0"/>
        <w:snapToGrid w:val="0"/>
        <w:spacing w:line="380" w:lineRule="atLeas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一、编制原则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围绕制造强国和网络强国建设，以落实国务院《深化标准化工作改革方案》为出发点，进一步加强重点标准和基础公益类标准制定，提升标准技术水平，优化标准体系结构。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市场需要原则。紧密围绕行业管理，产品设计、生产、检验和使用等活动，以及社会关注的热点和焦点问题，加强市场急需标准的制修订，突出标准对保证和提升产品质量、规范市场秩序和保护消费者合法权益的作用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（三）重点突出原则。区分重点项目、基础公益类项目与一般项目。重点支持基础公益类、重大技术和产品标准的制修订，逐步提升立项计划中重点项目的比例；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成体系原则。以各行业（领域）《技术标准体系建设方案》为指导，加强标准的总体规划和顶层设计，成体系开展标准制修订工作，不断优化标准体系结构，充分体现标准制修订的科学性、合理性、协调性和配套性。</w:t>
      </w:r>
    </w:p>
    <w:p>
      <w:pPr>
        <w:adjustRightInd w:val="0"/>
        <w:snapToGrid w:val="0"/>
        <w:spacing w:line="380" w:lineRule="atLeas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二、编制重点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（一）《技术标准体系建设方案》中重点领域的标准项目；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（二）产业转型升级所需的标准，具有创新技术和国际先进性的标准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（三）基础通用、试验方法以及关键共性技术等基础类标准项目；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（四）节能减排、</w:t>
      </w:r>
      <w:r>
        <w:rPr>
          <w:rFonts w:hint="eastAsia" w:ascii="宋体" w:hAnsi="宋体" w:cs="宋体"/>
          <w:sz w:val="24"/>
          <w:szCs w:val="24"/>
          <w:lang w:eastAsia="zh-CN"/>
        </w:rPr>
        <w:t>安全生产</w:t>
      </w:r>
      <w:r>
        <w:rPr>
          <w:rFonts w:hint="eastAsia" w:ascii="宋体" w:hAnsi="宋体" w:cs="宋体"/>
          <w:sz w:val="24"/>
          <w:szCs w:val="24"/>
        </w:rPr>
        <w:t>等具有社会公益属性的标准项目；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（五）不适应当前技术进步和产业发展需要，亟需修订的标准项目；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  <w:szCs w:val="24"/>
        </w:rPr>
        <w:t>（六）其他产业发展和行业管理亟需的标准项目</w:t>
      </w:r>
      <w:r>
        <w:rPr>
          <w:rFonts w:hint="eastAsia" w:ascii="宋体" w:hAnsi="宋体"/>
          <w:sz w:val="24"/>
        </w:rPr>
        <w:t>。</w:t>
      </w:r>
    </w:p>
    <w:p>
      <w:pPr>
        <w:spacing w:line="38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三、2018年第</w:t>
      </w:r>
      <w:r>
        <w:rPr>
          <w:rFonts w:hint="eastAsia" w:ascii="宋体" w:hAnsi="宋体"/>
          <w:b/>
          <w:sz w:val="24"/>
          <w:lang w:eastAsia="zh-CN"/>
        </w:rPr>
        <w:t>五</w:t>
      </w:r>
      <w:r>
        <w:rPr>
          <w:rFonts w:ascii="宋体" w:hAnsi="宋体"/>
          <w:b/>
          <w:sz w:val="24"/>
        </w:rPr>
        <w:t>批共安排项目计划158项。其中制定131项，修订27项；产品类标准152项，安全生产标准6项。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2018年第五批行业标准制修订计划汇总表</w:t>
      </w:r>
      <w:bookmarkStart w:id="0" w:name="A1"/>
      <w:bookmarkEnd w:id="0"/>
    </w:p>
    <w:tbl>
      <w:tblPr>
        <w:tblStyle w:val="8"/>
        <w:tblW w:w="15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709"/>
        <w:gridCol w:w="852"/>
        <w:gridCol w:w="707"/>
        <w:gridCol w:w="661"/>
        <w:gridCol w:w="661"/>
        <w:gridCol w:w="664"/>
        <w:gridCol w:w="710"/>
        <w:gridCol w:w="710"/>
        <w:gridCol w:w="1052"/>
        <w:gridCol w:w="825"/>
        <w:gridCol w:w="825"/>
        <w:gridCol w:w="825"/>
        <w:gridCol w:w="828"/>
        <w:gridCol w:w="1061"/>
        <w:gridCol w:w="588"/>
        <w:gridCol w:w="667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公益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158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黄金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航空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食品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信息化和软件服务业司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hint="eastAsia"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4" w:type="default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化工行业</w:t>
      </w:r>
      <w:r>
        <w:rPr>
          <w:b/>
        </w:rPr>
        <w:tab/>
      </w:r>
      <w:r>
        <w:rPr>
          <w:b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7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建材行业</w:t>
      </w:r>
      <w:r>
        <w:rPr>
          <w:b/>
        </w:rPr>
        <w:tab/>
      </w:r>
      <w:r>
        <w:rPr>
          <w:b/>
        </w:rPr>
        <w:t>13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13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13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14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钢铁行业</w:t>
      </w:r>
      <w:r>
        <w:rPr>
          <w:b/>
        </w:rPr>
        <w:tab/>
      </w:r>
      <w:r>
        <w:rPr>
          <w:b/>
        </w:rPr>
        <w:t>15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15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15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15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黄金行业</w:t>
      </w:r>
      <w:r>
        <w:rPr>
          <w:b/>
        </w:rPr>
        <w:tab/>
      </w:r>
      <w:r>
        <w:rPr>
          <w:b/>
        </w:rPr>
        <w:t>18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18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船舶行业</w:t>
      </w:r>
      <w:r>
        <w:rPr>
          <w:b/>
        </w:rPr>
        <w:tab/>
      </w:r>
      <w:r>
        <w:rPr>
          <w:b/>
        </w:rPr>
        <w:t>19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19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航空行业</w:t>
      </w:r>
      <w:r>
        <w:rPr>
          <w:b/>
        </w:rPr>
        <w:tab/>
      </w:r>
      <w:r>
        <w:rPr>
          <w:b/>
        </w:rPr>
        <w:t>20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20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轻工行业</w:t>
      </w:r>
      <w:r>
        <w:rPr>
          <w:b/>
        </w:rPr>
        <w:tab/>
      </w:r>
      <w:r>
        <w:rPr>
          <w:b/>
        </w:rPr>
        <w:t>21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21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21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电子行业</w:t>
      </w:r>
      <w:r>
        <w:rPr>
          <w:b/>
        </w:rPr>
        <w:tab/>
      </w:r>
      <w:r>
        <w:rPr>
          <w:b/>
        </w:rPr>
        <w:t>2</w:t>
      </w:r>
      <w:r>
        <w:rPr>
          <w:rFonts w:hint="eastAsia"/>
          <w:b/>
          <w:lang w:val="en-US" w:eastAsia="zh-CN"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2</w:t>
      </w:r>
      <w:r>
        <w:rPr>
          <w:rFonts w:hint="eastAsia"/>
          <w:lang w:val="en-US" w:eastAsia="zh-CN"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2</w:t>
      </w:r>
      <w:r>
        <w:rPr>
          <w:rFonts w:hint="eastAsia"/>
          <w:lang w:val="en-US" w:eastAsia="zh-CN"/>
        </w:rPr>
        <w:t>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通信行业</w:t>
      </w:r>
      <w:r>
        <w:rPr>
          <w:b/>
        </w:rPr>
        <w:tab/>
      </w:r>
      <w:r>
        <w:rPr>
          <w:b/>
        </w:rPr>
        <w:t>2</w:t>
      </w:r>
      <w:r>
        <w:rPr>
          <w:rFonts w:hint="eastAsia"/>
          <w:b/>
          <w:lang w:val="en-US" w:eastAsia="zh-CN"/>
        </w:rPr>
        <w:t>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2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br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食品行业</w:t>
      </w:r>
      <w:r>
        <w:rPr>
          <w:b/>
        </w:rPr>
        <w:tab/>
      </w:r>
      <w:r>
        <w:rPr>
          <w:rFonts w:hint="eastAsia"/>
          <w:b/>
          <w:lang w:val="en-US" w:eastAsia="zh-CN"/>
        </w:rPr>
        <w:t>49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rPr>
          <w:rFonts w:hint="eastAsia"/>
          <w:lang w:val="en-US" w:eastAsia="zh-CN"/>
        </w:rPr>
        <w:t>49</w:t>
      </w:r>
      <w:bookmarkStart w:id="2" w:name="_GoBack"/>
      <w:bookmarkEnd w:id="2"/>
    </w:p>
    <w:p>
      <w:pPr>
        <w:pStyle w:val="4"/>
        <w:tabs>
          <w:tab w:val="right" w:leader="dot" w:pos="14935"/>
        </w:tabs>
        <w:ind w:firstLine="420" w:firstLineChars="200"/>
        <w:sectPr>
          <w:type w:val="continuous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2018年第五批行业标准项目计划表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</w:instrText>
            </w:r>
            <w:r>
              <w:instrText xml:space="preserve">" \y "100010"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"100012"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2018-2221T-HG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肥料和土壤调理剂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化肥产品追溯系统要求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全国肥料和土壤调理剂标准化技术委员会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中国氮肥工业协会、中国磷复肥工业协会、国家工业信息安全发展研究中心、北京鑫创佳业科技股份有限公司 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"http://219.239.107.155:8080/TaskBook.aspx?id=HGCPZT23212018"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2018-2222T-HG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粗碳酸锰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衢州华友钴新材料有限公司、浙江华友钴业股份有限公司、衢州华友资源再生科技有限公司、广东邦普循环科技有限公司、中海油天津化工研究设计院有限公司等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2018-2223T-HG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煤化工-煤制化学品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煤基费托合成 3号喷气燃料组分油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全国煤化工标准化技术委员会煤制化学品分技术委员会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中科合成油技术有限公司、西南化工研究设计有限公司、内蒙古伊泰集团有限公司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2018-2224T-HG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煤化工-煤制化学品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煤基费托合成 软蜡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全国煤化工标准化技术委员会煤制化学品分技术委员会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神华宁夏煤业集团有限责任公司、中科合成油技术有限公司、西南化工研究设计有限公司、内蒙古伊泰集团有限公司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"100014"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2018-2225T-HG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三醋酸纤维素酯(TAC)薄膜用磷酸－2－联苯基二苯基酯(BDP)组分含量测定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中国乐凯集团有限公司、保定出入境检验检疫局、 合肥乐凯科技产业有限公司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"http://219.239.107.155:8080/TaskBook.aspx?id=HGFFXT23502018"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2018-2226T-HG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橡胶与橡胶制品-胶鞋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胶鞋整鞋屈挠试验方法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2871-2008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全国橡胶与橡胶制品标准化技术委员会胶鞋分技术委员会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福建华峰运动用品科技有限公司、莆田出入境检验检疫局等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"100016"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"http://219.239.107.155:8080/TaskBook.aspx?id=HGCPXT22972018"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2018-2227T-HG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带轮与带-输送带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波形挡边输送带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4062-2008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青岛橡六输送带有限公司、安徽中意胶带有限责任公司、青岛百瑞福橡塑有限公司、保定华月胶带有限公司、青岛新干线技术咨询有限公司、青岛新材料科技工业园发展有限公司等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"http://219.239.107.155:8080/TaskBook.aspx?id=HGCPZT22982018"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2018-2228T-HG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带轮与带-输送带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地下矿井用多层织物芯阻燃输送带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"http://219.239.107.155:8080/TaskBook.aspx?id=HGCPZT22992018"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2018-2229T-HG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带轮与带-输送带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地下矿井用抗撕裂钢丝绳芯阻燃输送带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2018-2230T-HG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带轮与带-输送带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煤矿用芳纶阻燃输送带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2018-2231T-HG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带轮与带-输送带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一般用途芳纶帆布芯输送带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"http://219.239.107.155:8080/TaskBook.aspx?id=HGCPXT22962018"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2018-2232T-HG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带轮与带-输送带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一般用途钢丝绳芯阻燃输送带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3973-2007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浙江双箭橡胶股份有限公司、安徽中意胶带有限责任公司、山东晨光胶带有限公司、山东隆源橡胶有限公司、青岛新干线技术咨询有限公司、青岛新材料科技工业园发展有限公司等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2018-2233T-HG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 防污硬化膜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合肥乐凯科技产业有限公司、天津乐凯薄膜有限公司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2018-2234T-HG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 盖板用透明硬化膜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合肥乐凯科技产业有限公司、天津乐凯薄膜有限公司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"http://219.239.107.155:8080/TaskBook.aspx?id=HGCPZT23152018"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2018-2235T-HG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 热弯成型保护膜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新纶科技（常州）有限公司、新恒东薄膜材料（常州）有限公司、合肥乐凯科技产业有限公司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2018-2236T-HG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光学级聚酯薄膜（PET）偏光片保护膜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合肥乐凯科技产业有限公司、中国乐凯集团有限公司、合肥工业大学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2018-2237T-HG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2,3,4-三氟硝基苯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浙江林江化工股份有限公司、沈阳化工研究院有限公司、国家染料质量监督检验中心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2018-2238T-HG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3,4,5-三氟溴苯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浙江林江化工股份有限公司、沈阳化工研究院有限公司、国家染料质量监督检验中心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2018-2239T-HG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对硝基甲苯邻磺酸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连云港莱亚化学有限公司、沈阳化工研究院有限公司、国家染料质量监督检验中心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2018-2240T-HG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邻磺酸钠苯甲醛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连云港莱亚化学有限公司、沈阳化工研究院有限公司、国家染料质量监督检验中心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2018-2241T-HG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船用污损自剥落型防污涂料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中国船舶重工集团公司第七二五研究所、中海油常州涂料化工研究院有限公司等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2018-2242T-HG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轨道交通车辆用涂料 第3部分：防滑涂料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海洋化工研究院有限公司、中车青岛四方车辆研究所有限公司等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2018-2243T-HG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轨道交通车辆用涂料 第4部分：防火涂料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中车青岛四方车辆研究所有限公司、中海油常州涂料化工研究院有限公司等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2018-2244T-HG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化妆品包装材料用紫外光（UV）固化涂料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浙江佑谦特种材料有限公司、中海油常州涂料化工研究院有限公司等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2018-2245T-HG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热转印粉末涂料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佛山市凃亿装饰材料科技有限公司、中海油常州涂料化工研究院有限公司等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2018-2246T-HG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橡胶与橡胶制品-合成橡胶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粉末苯乙烯－丁二烯橡胶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山东高氏科工贸有限公司、中国石油天然气股份有限公司石油化工研究院、北京东方雨虹防水技术股份有限公司、科顺防水科技股份有限公司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"http://219.239.107.155:8080/TaskBook.aspx?id=HGCPZT23452018"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2018-2247T-HG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增塑剂 三乙二醇二-2-乙基己酸酯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沈阳张明化工有限公司、安徽皖维高新材料股份有限公司、山东科兴化工有限公司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"http://219.239.107.155:8080/TaskBook.aspx?id=HGCPZT23532018"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2018-2248T-HG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橡胶与橡胶制品-浸胶骨架材料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输送带用浸胶聚酯直经直纬帆布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全国橡胶与橡胶制品标准化技术委员会浸胶骨架材料分技术委员会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青岛新材料科技工业园发展有限公司、山东海龙博莱特化纤有限责任公司、青岛科技大学、亚东工业（苏州）有限公司、青岛中化新材料实验室等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"http://219.239.107.155:8080/TaskBook.aspx?id=HGCPXT23552018"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2018-2249T-HG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轮胎强度和脱圈阻力试验机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3123-1998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北京橡胶工业研究设计院有限公司、汕头市浩大轮胎测试装备有限公司、高铁检测仪器（东莞）有限公司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"http://219.239.107.155:8080/TaskBook.aspx?id=HGCPXT23592018"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2018-2250T-HG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橡胶测试仪器设备通用技术条件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2382-1992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北京化工大学、北京橡胶工业研究设计院有限公司等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"http://219.239.107.155:8080/TaskBook.aspx?id=HGCPXT23582018"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2018-2251T-HG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橡胶磨片机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3654-2009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江苏新真威试验机械有限公司、北京橡胶工业研究设计院有限公司等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"http://219.239.107.155:8080/TaskBook.aspx?id=HGCPXT23562018"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2018-2252T-HG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鞋类模拟行走（寿命）试验机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3136-1998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高铁检测仪器（东莞）有限公司、北京橡胶工业研究设计院有限公司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"http://219.239.107.155:8080/TaskBook.aspx?id=HGCPXT23572018"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2018-2253T-HG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旋转轴唇形密封圈两半轴式径向力测定仪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2069-1991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西北橡胶塑料研究设计院有限公司、江苏明珠试验机械有限公司、北京橡胶工业研究设计院有限公司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"http://219.239.107.155:8080/TaskBook.aspx?id=HGCPXT23542018"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2018-2254T-HG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转鼓式轮胎高速耐久性能试验机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3122-1998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汕头市浩大轮胎测试装备有限公司、北京橡胶工业研究设计院有限公司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2018年第五批行业标准项目计划表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建材行业</w:instrText>
            </w:r>
            <w:r>
              <w:instrText xml:space="preserve">" \y "100020"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"100022"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"http://219.239.107.155:8080/TaskBook.aspx?id=JCCPZT23622018"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2018-2255T-JC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高模量碳纤维石墨化炉技术条件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威海光威精密机械有限公司、建筑材料工业技术监督研究中心等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"http://219.239.107.155:8080/TaskBook.aspx?id=JCCPZT23632018"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2018-2256T-JC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碳纤维高温碳化炉技术条件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威海光威精密机械有限公司、建筑材料工业技术监督研究中心等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"http://219.239.107.155:8080/TaskBook.aspx?id=JCCPZT23672018"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2018-2257T-JC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节水型反置式陶瓷砖抛光机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国家建筑材料工业机械标准化技术委员会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广东一鼎科技有限公司、中国建材机械工业协会、广东省机械研究所等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"http://219.239.107.155:8080/TaskBook.aspx?id=JCCPZT23662018"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2018-2258T-JC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无机非金属材料超细粉体立式辊磨机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国家建筑材料工业机械标准化技术委员会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合肥中亚建材装备有限责任公司、中国建材机械工业协会等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"http://219.239.107.155:8080/TaskBook.aspx?id=JCCPZT23762018"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2018-2259T-JC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人工晶体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掺铕碘化锶闪烁晶体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全国人工晶体标准化技术委员会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北京中材人工晶体研究院有限公司、中国科学院上海硅酸盐研究所等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"100024"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"http://219.239.107.155:8080/TaskBook.aspx?id=JCCPZT23602018"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2018-2260T-JC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非金属矿产品及制品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高岭土中游离石英含量的测定方法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咸阳非金属矿研究设计院有限公司、中国高岭土有限公司、湖南长岭石化科技开发有限公司等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"http://219.239.107.155:8080/TaskBook.aspx?id=JCCPZT23612018"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2018-2261T-JC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非金属矿产品及制品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石墨矿固定碳含量测试方法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德阳市科瑞仪器设备厂、咸阳非金属矿研究设计院有限公司等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"http://219.239.107.155:8080/TaskBook.aspx?id=JCCPZT23712018"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2018-2262T-JC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建筑用玻璃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玻璃弯曲度测试方法 激光扫描法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全国建筑用玻璃标准化技术委员会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中国建材检验认证集团秦皇岛有限公司、国家玻璃质量监督检验中心等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"http://219.239.107.155:8080/TaskBook.aspx?id=JCCPXT23722018"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2018-2263T-JC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建筑用玻璃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硅质玻璃原料化学分析方法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753-2001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全国建筑用玻璃标准化技术委员会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国家玻璃质量监督检验中心、中国建材检验认证集团秦皇岛有限公司等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"100026"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"http://219.239.107.155:8080/TaskBook.aspx?id=JCCPZT23692018"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2018-2264T-JC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建筑卫生陶瓷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蹲便器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全国建筑卫生陶瓷标准化技术委员会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"http://219.239.107.155:8080/TaskBook.aspx?id=JCCPZT23682018"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2018-2265T-JC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建筑卫生陶瓷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卫生陶瓷表面质量评价方法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全国建筑卫生陶瓷标准化技术委员会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咸阳陶瓷研究设计院有限公司等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2018年第五批行业标准项目计划表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钢铁行业</w:instrText>
            </w:r>
            <w:r>
              <w:instrText xml:space="preserve">" \y "100030"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"100032"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2018-2266T-YB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气化焦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宁夏宝丰能源集团股份有限公司、冶金工业信息标准研究院等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"http://219.239.107.155:8080/TaskBook.aspx?id=YBCPZT24312018"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2018-2267T-YB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石墨电极接头用煤系针状焦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鞍山开炭热能新材料有限公司、冶金工业信息标准研究院等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"100034"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"http://219.239.107.155:8080/TaskBook.aspx?id=YBCPXT24412018"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2018-2268T-YB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硅钙合金分析方法 第1部分：铝含量的测定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4174.1-2008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北京首钢股份有限公司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2018-2269T-YB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硅钙合金分析方法 第3部分：氧化钙含量的测定 电位滴定法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河钢集团钢研总院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2018-2270T-YB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锰硅合金球 落下强度测定方法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宁波钢铁有限公司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"100036"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2018-2271T-YB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钢带轮廓检测方法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2018-2272T-YB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钢带翘曲检测方法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"http://219.239.107.155:8080/TaskBook.aspx?id=YBCPZT23892018"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2018-2273T-YB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管道用碳钢修补器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安徽恒生科技发展集团有限公司、安徽工匠质量标准研究院有限公司、冶金工业信息标准研究院等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2018-2274T-YB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焦化产品正庚烷不溶物含量的测定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2018-2275T-YB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焦化高软化点煤沥青 软化点的测定 冷压环球法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2018-2276T-YB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焦化轻油 酚含量的测定 气相色谱法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"http://219.239.107.155:8080/TaskBook.aspx?id=YBCPZT23922018"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2018-2277T-YB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模具钢超声检测方法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钢研纳克检测技术有限公司、钢铁研究总院、冶金工业信息标准研究院等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2018-2278T-YB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汽车掣动推拉索芯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江阴泰阳成索业有限公司、冶金工业信息标准研究院等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2018-2279T-YB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桥梁减震榫用热轧圆钢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2018-2280T-YB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热轧钢带横向板廓计算及质量判定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"http://219.239.107.155:8080/TaskBook.aspx?id=YBCPZT23902018"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2018-2281T-YB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液压缸用热轧无缝钢管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浙江明贺钢管有限公司、衡阳华菱钢管有限公司、冶金工业信息标准研究院等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"http://219.239.107.155:8080/TaskBook.aspx?id=YBCPXT24332018"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2018-2282T-YB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防爆裂快速烘烤耐火浇注料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4195-2009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濮阳濮耐高温材料（集团）股份有限公司等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2018-2283T-YB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高炉喷注料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北京联合荣大工程材料股份有限公司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2018-2284T-YB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碳化硅加热元件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浙江宇清热工科技有限公司等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"http://219.239.107.155:8080/TaskBook.aspx?id=YBCPXT24322018"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2018-2285T-YB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铁水预处理内衬用Al2O3-SiC-C质耐火材料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164-2009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山东耐材集团鲁耐窑业有限公司等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"http://219.239.107.155:8080/TaskBook.aspx?id=YBCPXT24342018"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2018-2286T-YB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自流耐火浇注料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4197-2009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濮阳濮耐高温材料（集团）股份有限公司等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"http://219.239.107.155:8080/TaskBook.aspx?id=YBCPXT24442018"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2018-2287T-YB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高炉设备主要参数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011-2007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宁波钢铁有限公司、北京中冶设备研究设计总院有限公司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"http://219.239.107.155:8080/TaskBook.aspx?id=YBCPZT24532018"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2018-2288T-YB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高炉用铸钢冷却壁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冶金工业规划研究院、马鞍山润通冶金材料有限公司、中冶华天工程技术有限公司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2018年第五批行业标准项目计划表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黄金行业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黄金行业</w:instrText>
            </w:r>
            <w:r>
              <w:instrText xml:space="preserve">" \y "100040"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"100046"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"http://219.239.107.155:8080/TaskBook.aspx?id=YSCPZT24552018"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2018-2289T-YS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黄金生产用颗粒活性炭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全国黄金标准化技术委员会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长春黄金研究院有限公司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"http://219.239.107.155:8080/TaskBook.aspx?id=YSCPXT24572018"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2018-2290T-YS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金精矿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3004-2011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全国黄金标准化技术委员会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长春黄金研究院有限公司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2018年第五批行业标准项目计划表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船舶行业</w:instrText>
            </w:r>
            <w:r>
              <w:instrText xml:space="preserve">" \y "100050"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"100052"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"http://219.239.107.155:8080/TaskBook.aspx?id=CBGLZT24592018"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2018-2291T-CB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船舶行业企业安全生产和职业卫生培训管理要求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"http://219.239.107.155:8080/TaskBook.aspx?id=CBGLZT24632018"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2018-2292T-CB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船舶行业企业特种作业人员管理要求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"http://219.239.107.155:8080/TaskBook.aspx?id=CBGLZT24602018"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2018-2293T-CB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船舶行业企业应急管理要求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"http://219.239.107.155:8080/TaskBook.aspx?id=CBGLZT24612018"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2018-2294T-CB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船舶行业企业有限空间作业安全管理要求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"http://219.239.107.155:8080/TaskBook.aspx?id=CBGLZT24642018"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2018-2295T-CB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船舶行业企业职业危害岗位劳动防护用品配备要求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"http://219.239.107.155:8080/TaskBook.aspx?id=CBGLZT24582018"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2018-2296T-CB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船舶行业企业职业卫生和职业健康监护档案及记录管理要求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2018年第五批行业标准项目计划表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航空行业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航空行业</w:instrText>
            </w:r>
            <w:r>
              <w:instrText xml:space="preserve">" \y "100060"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"100066"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"http://219.239.107.155:8080/TaskBook.aspx?id=HBCPXT24672018"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2018-2297T-HB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航空综合技术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航空质量管理体系要求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HB 9100-2012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IAQG 9100:0216,IDT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中国航空综合技术研究所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中国航空综合技术研究所、中国航空工业集团有限公司、中国商用飞机有限责任公司、中国航空发动机集团有限公司、中国航发商用航空发动机有限责任公司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2018年第五批行业标准项目计划表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轻工行业</w:instrText>
            </w:r>
            <w:r>
              <w:instrText xml:space="preserve">" \y "100070"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"100074"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"http://219.239.107.155:8080/TaskBook.aspx?id=QBCPXT24882018"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2018-2298T-QB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乐器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民族弦鸣乐器通用技术条件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1207.1-2011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全国乐器标准化技术委员会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上海民族乐器一厂、北京乐器研究所等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"http://219.239.107.155:8080/TaskBook.aspx?id=QBCPXT25002018"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2018-2299T-QB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皮革工业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箱包 滚筒试验方法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4116-2010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全国皮革工业标准化技术委员会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广州检验检测认证集团有限公司、中国皮革制鞋研究院有限公司、国家皮革制品质量监督检验中心等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"http://219.239.107.155:8080/TaskBook.aspx?id=QBCPZT25092018"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2018-2300T-QB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海参制品中多糖的测定—液相色谱-质谱联用法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大连工业大学等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"100076"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"http://219.239.107.155:8080/TaskBook.aspx?id=QBCPZT24852018"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2018-2301T-QB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老年公寓家具通用技术要求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上海市质量监督检验技术研究院、浙江农林大学、上海新冠美家具有限公司等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"http://219.239.107.155:8080/TaskBook.aspx?id=QBCPZT24842018"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2018-2302T-QB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婴幼儿用床边围栏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上海市质量监督检验技术研究院、北京林业大学等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"http://219.239.107.155:8080/TaskBook.aspx?id=QBCPZT24872018"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2018-2303T-QB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金属餐饮及烹饪器具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铝合金铸造不粘锅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全国金属餐饮及烹饪器具标准化技术委员会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浙江中信厨具有限公司、国家日用金属制品质量监督检验中心（沈阳）、永康市质量技术监督检测中心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"http://219.239.107.155:8080/TaskBook.aspx?id=QBCPXT25022018"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2018-2304T-QB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普通陶器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1222-1991;QB/T 3732.1-1999;QB/T 3732.3-1999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潮州市长城世家瓷业有限公司、江西省陶瓷检测中心等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"http://219.239.107.155:8080/TaskBook.aspx?id=QBCPXT25032018"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2018-2305T-QB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陶瓷颜料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2455-2011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淄博福禄新型材料有限责任公司、山东硅元新型材料股份有限公司、江西省陶瓷检测中心、中国陶瓷工业协会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"http://219.239.107.155:8080/TaskBook.aspx?id=QBCPXT25222018"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2018-2306T-QB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制鞋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鞋类 外底试验方法 耐磨性能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2884-2007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ISO 20871:2018,IDT 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全国制鞋标准化技术委员会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"http://219.239.107.155:8080/TaskBook.aspx?id=QBCPXT25272018"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2018-2307T-QB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指针式石英钟用单相永磁步进电动机的技术要求和试验方法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1038-2011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西安轻工业钟表研究所有限公司、福建省昇邦电子科技有限公司、福建上润精密仪器电子有限公司等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"http://219.239.107.155:8080/TaskBook.aspx?id=QBCPXT25252018"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2018-2308T-QB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钟表宝石元件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2405-2010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上海关勒铭有限公司、西安轻工业钟表研究所有限公司等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"http://219.239.107.155:8080/TaskBook.aspx?id=QBCPXT25242018"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2018-2309T-QB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钟表用铅黄铜棒与线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1542-2005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"http://219.239.107.155:8080/TaskBook.aspx?id=QBCPXT25282018"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2018-2310T-QB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钟用黄铜线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1540-2005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"http://219.239.107.155:8080/TaskBook.aspx?id=QBCPXT25312018"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2018-2311T-QB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电动自行车用锂离子电池产品规格尺寸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4428-2012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国家轻型电动车及电池产品质量监督检验中心、浙江天能能源科技股份有限公司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"http://219.239.107.155:8080/TaskBook.aspx?id=QBCPZT25072018"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2018-2312T-QB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乳脂肪球膜乳清蛋白粉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全国乳制品标准化技术委员会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国家乳业工程技术研究中心、美赞臣婴幼儿营养品研发中心（中国）有限公司等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"http://219.239.107.155:8080/TaskBook.aspx?id=QBCPZT25212018"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2018-2313T-QB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盐业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水处理用盐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全国盐业标准化技术委员会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中盐金坛盐化有限责任公司、国家盐产品质量监督检验中心等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"http://219.239.107.155:8080/TaskBook.aspx?id=QBCPZT25102018"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2018-2314T-QB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阿胶食品通用技术要求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东阿阿胶股份有限公司、山东省标准化研究院、山东省食品药品检定研究院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"http://219.239.107.155:8080/TaskBook.aspx?id=QBCPZT25112018"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2018-2315T-QB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怀姜糖膏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博爱县质量技术监督局、、博爱县电商办、博爱县怀姜协会、博爱县公共检验检测中心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"http://219.239.107.155:8080/TaskBook.aspx?id=QBCPZT25082018"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2018-2316T-QB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即食鲜切蔬果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食品行业生产力促进中心、中国食品工业（集团）有限公司、深圳德保膳食管理有限公司、深圳市标准技术研究院等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"http://219.239.107.155:8080/TaskBook.aspx?id=QBCPZT25132018"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2018-2317T-QB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番茄类罐头中番茄红素、叶黄素、胡萝卜素含量的测定-超高效液相色谱法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中国食品发酵工业研究工业研究院有限公司、上海交通大学等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both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2018年第五批行业标准项目计划表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"100080"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"100082"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"http://219.239.107.155:8080/TaskBook.aspx?id=SJCPZT25342018"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2018-2318T-SJ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质量管理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信息系统集成及服务行业 质量管理规范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信息化和软件服务业司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中国电子技术标准化研究院、北京赛西认证有限责任公司、中国软件技术服务股份有限公司、四川久远银海软件股份有限公司、天津市龙网科技发展有限公司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"100086"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"http://219.239.107.155:8080/TaskBook.aspx?id=SJCPZT21992018"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2018-2319T-SJ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智能音箱技术规范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中国电子技术标准化研究院、北京小米科技有限责任公司、中国电子音响行业协会等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2018年第五批行业标准项目计划表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"100090"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"100092"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2018-2320T-YD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 第1部分：总体技术要求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2018-2321T-YD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 第2部分：术语和参考模型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2018-2322T-YD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 第3部分：功能及技术规范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"http://219.239.107.155:8080/TaskBook.aspx?id=YDCPZT25552018"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2018-2323T-YD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 第4部分：平台功能测试规范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2018-2324T-YD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 第5部分：多方可信计算环境功能及技术要求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2018-2325T-YD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 第6部分：数据网关技术要求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中国联合网络通信集团有限公司、中国信息通信研究院、中国电信集团有限公司、中国移动通信集团公司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2018-2326T-YD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 第7部分：用户管理要求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中国联合网络通信集团有限公司、中国信息通信研究院、中国电信集团有限公司、中国移动通信集团公司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"http://219.239.107.155:8080/TaskBook.aspx?id=YDCPZT26692018"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2018-2327T-YD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面向互联网租赁自行车电子围栏的设备技术要求及测试方法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中国信息通信研究院、北京摩拜科技有限公司、泰斗微电子科技有限公司、北京展讯高科通信技术有限公司、中兴通讯股份有限公司、北京东方计量测试研究所、北京邮电大学、国家无线电监测中心检测中心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"http://219.239.107.155:8080/TaskBook.aspx?id=YDCPZT25932018"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2018-2328T-YD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移动通信网高精度定位总体技术要求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兴通讯股份有限公司、北京邮电大学、大唐电信科技产业集团（电信科学技术研究院）、中国信息通信研究院、中国联合网络通信集团有限公司、中国电信集团有限公司、维沃移动通信有限公司、中国移动通信集团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"http://219.239.107.155:8080/TaskBook.aspx?id=YDCPZT17592018"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2018-2329T-YD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 第18部分：5G移动通信用户设备及其辅助设备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电信集团公司、中国移动通信集团设计院有限公司、北京三星通信技术研究有限公司、高通无线通信技术(中国)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2018-2330T-YD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无线终端空间射频辐射功率和接收机性能测量方法 第9部分：5G NR无线终端(Sub-6GHz)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北京小米移动软件有限公司、OPPO广东移动通信有限公司、维沃移动通信有限公司、深圳信息通信研究院、华为技术有限公司、深圳酷派技术有限公司、瑞声科技（南京）有限公司、中兴通讯股份有限公司、联想移动通信科技有限公司、北京邮电大学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"http://219.239.107.155:8080/TaskBook.aspx?id=YDCPZT26212018"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2018-2331T-YD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工业互联网标识解析 可信解析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中国信息通信研究院、中国电信集团有限公司、北龙中网（北京）科技有限责任公司、中国物品编码中心、四川天邑康和通信股份有限公司、华为技术有限公司、中国电子技术标准化研究院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2018-2332T-YD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软件定义的工厂内网络 管理层模型与技术要求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2018-2333T-YD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软件定义的工厂内网络 转发层模型与技术要求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2018-2334T-YD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软件定义的工厂内网络 总体架构与技术要求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2018-2335T-YD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工业互联网IPv6地址分配技术要求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2018-2336T-YD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不同运营商富通信业务（RCS）互通测试规范（第二阶段）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2018-2337T-YD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不同运营商富通信业务（RCS）互通总体技术要求（第二阶段）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2018-2338T-YD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号码携带服务质量要求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2018-2339T-YD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全局路由节点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中国电信集团有限公司、中国信息通信研究院、中兴通讯股份有限公司、华为技术有限公司、上海诺基亚贝尔股份有限公司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2018-2340T-YD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用户侧接口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阿里云计算有限公司、中国信息通信研究院、新华三技术有限公司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"http://219.239.107.155:8080/TaskBook.aspx?id=YDCPZT25812018"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2018-2341T-YD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基于家庭网关的宽带网络性能质量数据采集测试方法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"http://219.239.107.155:8080/TaskBook.aspx?id=YDCPZT25802018"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2018-2342T-YD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基于家庭网关的宽带网络性能质量数据采集技术要求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2018-2343T-YD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数据中心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数据中心无损网络典型场景技术要求和测试方法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中国信息通信研究院、中国移动通信集团公司、中国电信集团有限公司、华为技术有限公司、北京百度网讯科技有限公司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2018-2344T-YD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面向物联网的蜂窝窄带接入（NB-IoT）网络管理技术要求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市天元网络技术股份有限公司、中国移动通信集团公司、中国移动通信集团设计院有限公司、中国联合网络通信集团有限公司、爱立信（中国）通信有限公司、上海诺基亚贝尔股份有限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"http://219.239.107.155:8080/TaskBook.aspx?id=YDCPZT25852018"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2018-2345T-YD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 第3部分：智能维护支撑系统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北京邮电大学、北京万可信息技术有限公司、北京市天元网络技术股份有限公司、中国电信集团有限公司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2018-2346T-YD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 第4部分：智能维护信息模型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北京邮电大学、北京万可信息技术有限公司、北京市天元网络技术股份有限公司、中国电信集团有限公司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"http://219.239.107.155:8080/TaskBook.aspx?id=YDCPZT26142018"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2018-2347T-YD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基于人工智能的诈骗电话号码识别技术要求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中国移动通信集团公司、华为技术有限公司、中兴通讯股份有限公司、国家计算机网络应急技术处理协调中心、恒安嘉新（北京）科技股份公司、北京奇虎科技有限公司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2018-2348T-YD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移动网络高密度垃圾短信防护拦截技术要求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2018-2349T-YD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移动网络高密度骚扰电话防护拦截技术要求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中国移动通信集团公司、中国信息通信研究院、中国联合网络通信集团有限公司、杭州东信北邮信息技术有限公司、浙江鹏信信息科技股份有限公司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2018-2350T-YD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基于SDN/NFV的协同编排系统 总体架构及技术要求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中国电信集团有限公司、中兴通讯股份有限公司、四川通信科研规划设计有限责任公司、烽火科技集团有限公司、中通服咨询设计研究院有限公司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2018-2351T-YD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基于SDN的网络随选系统 基于以太网VPN方式的技术要求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中国电信集团有限公司、烽火科技集团有限公司、新华三技术有限公司、华为技术有限公司、中兴通讯股份有限公司、中讯邮电咨询设计院有限公司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2018-2352T-YD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面向网络功能虚拟化的分布式块存储技术要求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中国移动通信集团公司、中国联合网络通信集团有限公司、中国电信集团有限公司、新华三技术有限公司、华为技术有限公司、中兴通讯股份有限公司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2018-2353T-YD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无损网络应用场景与需求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2018-2354T-YD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无损网络总体技术要求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"http://219.239.107.155:8080/TaskBook.aspx?id=YDCPZT26452018"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2018-2355T-YD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IPv6发展监测指标体系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2018-2356T-YD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基于SDN的城域综合IP承载网架构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中国联合网络通信集团有限公司、中兴通讯股份有限公司、广东南方电信规划咨询设计院有限公司、上海诺基亚贝尔股份有限公司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2018-2357T-YD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网络功能虚拟化（NFV） 三层解耦虚拟层技术要求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2018-2358T-YD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网络功能虚拟化（NFV） 通用虚拟网络功能管理器（VNFM）技术要求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中国移动通信集团公司、中国电信集团有限公司、中国联合网络通信集团有限公司、新华三技术有限公司、中兴通讯股份有限公司、华为技术有限公司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"http://219.239.107.155:8080/TaskBook.aspx?id=YDCPZT25902018"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2018-2359T-YD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基于区块链的安全可信物联网数据通信架构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北京邮电大学、华为技术有限公司、北京万可信息技术有限公司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2018-2360T-YD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互联网租赁自行车智能车锁技术要求和测试方法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北京摩拜科技有限公司、中国信息通信研究院、上海华东电信研究院、中国电信集团有限公司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2018-2361T-YD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5G数字蜂窝移动通信网 6GHz以下频段基站设备测试方法（第一阶段）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大唐电信科技产业集团（电信科学技术研究院）、华为技术有限公司、中兴通讯股份有限公司、爱立信（中国）通信有限公司、上海诺基亚贝尔股份有限公司、国家无线电监测中心、国家无线电监测中心检测中心、西安通和电信设备检测有限公司、烽火科技集团有限公司、中国普天信息产业股份有限公司、中国铁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2018-2362T-YD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5G数字蜂窝移动通信网 6GHz以下频段基站设备技术要求（第一阶段）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大唐电信科技产业集团（电信科学技术研究院）、华为技术有限公司、中兴通讯股份有限公司、爱立信（中国）通信有限公司、上海诺基亚贝尔股份有限公司、国家无线电监测中心检测中心、国家无线电监测中心、西安通和电信设备检测有限公司、烽火科技集团有限公司、中国普天信息产业股份有限公司、北京华麒通信科技股份有限公司、中国铁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2018-2363T-YD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5G数字蜂窝移动通信网 增强移动宽带终端设备测试方法（第一阶段）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联合网络通信集团有限公司、中国电信集团有限公司、华为技术有限公司、中兴通讯股份有限公司、北京展讯高科通信技术有限公司、大唐电信科技产业集团（电信科学技术研究院）、高通无线通信技术(中国)有限公司、OPPO广东移动通信有限公司、国家无线电监测中心检测中心、维沃移动通信有限公司、北京小米移动软件有限公司、上海诺基亚贝尔股份有限公司、联发博动科技（北京）有限公司、北京三星通信技术研究有限公司、英特尔（中国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2018-2364T-YD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5G数字蜂窝移动通信网 增强移动宽带终端设备技术要求（第一阶段）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高通无线通信技术(中国)有限公司、英特尔（中国）有限公司、OPPO广东移动通信有限公司、国家无线电监测中心检测中心、大唐电信科技产业集团（电信科学技术研究院）、北京小米移动软件有限公司、上海诺基亚贝尔股份有限公司、联发博动科技（北京）有限公司、北京展讯高科通信技术有限公司、鼎桥通信技术有限公司、北京三星通信技术研究有限公司、维沃移动通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2018-2365T-YD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5G数字蜂窝移动通信网无源天线阵列测试方法（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&lt;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6GHz）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国家无线电监测中心检测中心、中国移动通信集团公司、中国电信集团有限公司、中国联合网络通信集团有限公司、华为技术有限公司、京信通信系统（中国）有限公司、上海诺基亚贝尔股份有限公司、北京中科国技信息系统有限公司、深圳国人通信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2018-2366T-YD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5G数字蜂窝移动通信网无源天线阵列技术要求（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&lt;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6GHz）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国家无线电监测中心检测中心、中国移动通信集团公司、中国电信集团有限公司、中国联合网络通信集团有限公司、华为技术有限公司、京信通信系统（中国）有限公司、上海诺基亚贝尔股份有限公司、北京中科国技信息系统有限公司、深圳国人通信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"http://219.239.107.155:8080/TaskBook.aspx?id=YDCPZT25942018"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2018-2367T-YD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5G移动通信网 安全技术要求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3GPP TS33.501 R15,MOD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中国联合网络通信集团有限公司、中国信息通信研究院、华为技术有限公司、上海诺基亚贝尔股份有限公司、大唐电信科技产业集团（电信科学技术研究院）、高通无线通信技术(中国)有限公司、中国电信集团有限公司、中国人民解放军战略支援部队信息工程大学、中国电子科技网络信息安全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2018-2368T-YD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5G数字蜂窝移动通信网 NG接口技术要求和测试方法（第一阶段）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、大唐电信科技产业集团（电信科学技术研究院）、华为技术有限公司、中兴通讯股份有限公司、爱立信（中国）通信有限公司、上海诺基亚贝尔股份有限公司、中国铁塔股份有限公司、中国普天信息产业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2018-2369T-YD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5G数字蜂窝移动通信网 Xn/X2接口技术要求和测试方法（第一阶段）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、大唐电信科技产业集团（电信科学技术研究院）、华为技术有限公司、中兴通讯股份有限公司、爱立信（中国）通信有限公司、上海诺基亚贝尔股份有限公司、中国铁塔股份有限公司、中国普天信息产业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2018-2370T-YD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5G数字蜂窝移动通信网 无线接入网总体技术要求（第一阶段）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大唐电信科技产业集团（电信科学技术研究院）、华为技术有限公司、中兴通讯股份有限公司、爱立信（中国）通信有限公司、上海诺基亚贝尔股份有限公司、北京展讯高科通信技术有限公司、联发博动科技（北京）有限公司、高通无线通信技术(中国)有限公司、北京三星通信技术研究有限公司、烽火科技集团有限公司、鼎桥通信技术有限公司、中国铁塔股份有限公司、中国普天信息产业股份有限公司、OPPO广东移动通信有限公司、维沃移动通信有限公司、北京华麒通信科技股份有限公司、四川通信科研规划设计有限责任公司、北京小米移动软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2018-2371T-YD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5G移动通信网 核心网网元功能测试方法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大唐电信科技产业集团（电信科学技术研究院）、爱立信（中国）通信有限公司、上海诺基亚贝尔股份有限公司、中国铁塔股份有限公司、烽火科技集团有限公司、中国普天信息产业股份有限公司、鼎桥通信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2018-2372T-YD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5G移动通信网 核心网网元功能技术要求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大唐电信科技产业集团（电信科学技术研究院）、爱立信（中国）通信有限公司、上海诺基亚贝尔股份有限公司、中国普天信息产业股份有限公司、鼎桥通信技术有限公司、中国铁塔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2018-2373T-YD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5G移动通信网 核心网总体技术要求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上海诺基亚贝尔股份有限公司、爱立信（中国）通信有限公司、大唐电信科技产业集团（电信科学技术研究院）、中国普天信息产业股份有限公司、鼎桥通信技术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"http://219.239.107.155:8080/TaskBook.aspx?id=YDCPZT26572018"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2018-2374T-YD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移动通信网运营商间互联互通安全 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中国移动通信集团公司、上海诺基亚贝尔股份有限公司、华为技术有限公司、中兴通讯股份有限公司、中国信息通信研究院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2018-2375T-YD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基于云计算技术的应用运维平台通用技术要求 第1部分：总体要求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2018-2376T-YD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基于云计算技术的应用运维平台通用技术要求 第2部分：评估方法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"http://219.239.107.155:8080/TaskBook.aspx?id=YDCPZT25522018"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2018-2377T-YD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云计算运维智能化通用评估方法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2018年第五批行业标准项目计划表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食品行业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食品行业</w:instrText>
            </w:r>
            <w:r>
              <w:instrText xml:space="preserve">" \y "100100"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"100106"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"http://219.239.107.155:8080/TaskBook.aspx?id=QBCPZT18102018"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2018-2378T-QB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即食虾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全国食品工业协会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中国食协冷冻冷藏食品专业委员会、中国海洋大学、荣成泰祥食品有限公司等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type w:val="continuous"/>
      <w:pgSz w:w="16838" w:h="11906" w:orient="landscape"/>
      <w:pgMar w:top="873" w:right="663" w:bottom="873" w:left="123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50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0762648">
    <w:nsid w:val="50830098"/>
    <w:multiLevelType w:val="multilevel"/>
    <w:tmpl w:val="5083009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50762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22E3"/>
    <w:rsid w:val="000E25AD"/>
    <w:rsid w:val="00264DCF"/>
    <w:rsid w:val="002B1642"/>
    <w:rsid w:val="002D46FF"/>
    <w:rsid w:val="002D7442"/>
    <w:rsid w:val="00432EEE"/>
    <w:rsid w:val="005C5921"/>
    <w:rsid w:val="00A853CB"/>
    <w:rsid w:val="00D16FA7"/>
    <w:rsid w:val="00E422E3"/>
    <w:rsid w:val="00F160D5"/>
    <w:rsid w:val="02543D5F"/>
    <w:rsid w:val="082422EC"/>
    <w:rsid w:val="097C031F"/>
    <w:rsid w:val="0F083839"/>
    <w:rsid w:val="10511251"/>
    <w:rsid w:val="121A7943"/>
    <w:rsid w:val="19AE3232"/>
    <w:rsid w:val="1CA11007"/>
    <w:rsid w:val="1D0D0336"/>
    <w:rsid w:val="1FDB71CF"/>
    <w:rsid w:val="20A13715"/>
    <w:rsid w:val="2937372F"/>
    <w:rsid w:val="2F012EAA"/>
    <w:rsid w:val="2FA14FB2"/>
    <w:rsid w:val="35900570"/>
    <w:rsid w:val="35BE7DBB"/>
    <w:rsid w:val="36C91572"/>
    <w:rsid w:val="3F3A354A"/>
    <w:rsid w:val="43505BFE"/>
    <w:rsid w:val="43AB2A94"/>
    <w:rsid w:val="46064E72"/>
    <w:rsid w:val="4A154318"/>
    <w:rsid w:val="4CB26265"/>
    <w:rsid w:val="4F234175"/>
    <w:rsid w:val="4FB1204A"/>
    <w:rsid w:val="54AB1879"/>
    <w:rsid w:val="5799157F"/>
    <w:rsid w:val="5E64706B"/>
    <w:rsid w:val="5FF97102"/>
    <w:rsid w:val="60DE0679"/>
    <w:rsid w:val="61A54BBF"/>
    <w:rsid w:val="626B6F06"/>
    <w:rsid w:val="62736511"/>
    <w:rsid w:val="63392A57"/>
    <w:rsid w:val="656E29F6"/>
    <w:rsid w:val="660718F0"/>
    <w:rsid w:val="669F43ED"/>
    <w:rsid w:val="67A34B94"/>
    <w:rsid w:val="6A21116D"/>
    <w:rsid w:val="6A617017"/>
    <w:rsid w:val="6A696621"/>
    <w:rsid w:val="6A9B5EF7"/>
    <w:rsid w:val="6BCF2A70"/>
    <w:rsid w:val="6D8A2D46"/>
    <w:rsid w:val="6DFD7802"/>
    <w:rsid w:val="73C62B81"/>
    <w:rsid w:val="75F37912"/>
    <w:rsid w:val="765B603D"/>
    <w:rsid w:val="76CA086F"/>
    <w:rsid w:val="784B32EA"/>
    <w:rsid w:val="7BFA6EF3"/>
    <w:rsid w:val="7EF511D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uiPriority w:val="99"/>
  </w:style>
  <w:style w:type="character" w:styleId="6">
    <w:name w:val="page number"/>
    <w:basedOn w:val="5"/>
    <w:qFormat/>
    <w:uiPriority w:val="0"/>
    <w:rPr/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50</Pages>
  <Words>5393</Words>
  <Characters>30741</Characters>
  <Lines>256</Lines>
  <Paragraphs>72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2018-12-23T07:13:00Z</dcterms:created>
  <dc:creator>Windows 用户</dc:creator>
  <cp:lastModifiedBy>Administrator</cp:lastModifiedBy>
  <dcterms:modified xsi:type="dcterms:W3CDTF">2018-12-23T09:04:05Z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