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kern w:val="0"/>
          <w:sz w:val="36"/>
          <w:szCs w:val="36"/>
          <w:lang w:val="en-US" w:eastAsia="zh-CN"/>
        </w:rPr>
      </w:pPr>
      <w:bookmarkStart w:id="0" w:name="_GoBack"/>
      <w:bookmarkEnd w:id="0"/>
      <w:r>
        <w:rPr>
          <w:rFonts w:hint="eastAsia" w:ascii="黑体" w:hAnsi="黑体" w:eastAsia="黑体" w:cs="黑体"/>
          <w:kern w:val="0"/>
          <w:sz w:val="36"/>
          <w:szCs w:val="36"/>
          <w:lang w:val="en-US" w:eastAsia="zh-CN"/>
        </w:rPr>
        <w:t>附件</w:t>
      </w:r>
    </w:p>
    <w:p>
      <w:pPr>
        <w:spacing w:line="600" w:lineRule="exact"/>
        <w:jc w:val="center"/>
        <w:rPr>
          <w:rFonts w:hint="eastAsia" w:ascii="黑体" w:hAnsi="黑体" w:eastAsia="黑体" w:cs="黑体"/>
          <w:kern w:val="0"/>
          <w:sz w:val="36"/>
          <w:szCs w:val="36"/>
        </w:rPr>
      </w:pPr>
      <w:r>
        <w:rPr>
          <w:rFonts w:hint="eastAsia" w:ascii="黑体" w:hAnsi="黑体" w:eastAsia="黑体" w:cs="黑体"/>
          <w:kern w:val="0"/>
          <w:sz w:val="36"/>
          <w:szCs w:val="36"/>
          <w:lang w:val="en-US" w:eastAsia="zh-CN"/>
        </w:rPr>
        <w:t>拟列入的106项团体标准应用示范项目汇总表</w:t>
      </w:r>
    </w:p>
    <w:tbl>
      <w:tblPr>
        <w:tblStyle w:val="5"/>
        <w:tblW w:w="141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2550"/>
        <w:gridCol w:w="5466"/>
        <w:gridCol w:w="185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blHeader/>
          <w:jc w:val="center"/>
        </w:trPr>
        <w:tc>
          <w:tcPr>
            <w:tcW w:w="707"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序号</w:t>
            </w:r>
          </w:p>
        </w:tc>
        <w:tc>
          <w:tcPr>
            <w:tcW w:w="2550" w:type="dxa"/>
            <w:shd w:val="clear" w:color="auto" w:fill="auto"/>
            <w:vAlign w:val="center"/>
          </w:tcPr>
          <w:p>
            <w:pPr>
              <w:widowControl/>
              <w:jc w:val="center"/>
              <w:rPr>
                <w:rFonts w:hint="default" w:ascii="Times New Roman" w:hAnsi="Times New Roman" w:eastAsia="仿宋_GB2312" w:cs="Times New Roman"/>
                <w:b/>
                <w:bCs/>
                <w:kern w:val="0"/>
                <w:sz w:val="24"/>
                <w:szCs w:val="24"/>
              </w:rPr>
            </w:pPr>
            <w:r>
              <w:rPr>
                <w:rFonts w:hint="default" w:ascii="仿宋_GB2312" w:hAnsi="仿宋_GB2312" w:eastAsia="仿宋_GB2312" w:cs="仿宋_GB2312"/>
                <w:b/>
                <w:bCs/>
                <w:sz w:val="24"/>
                <w:szCs w:val="24"/>
              </w:rPr>
              <w:t>标准编号</w:t>
            </w:r>
          </w:p>
        </w:tc>
        <w:tc>
          <w:tcPr>
            <w:tcW w:w="5466"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团体标准名称</w:t>
            </w:r>
          </w:p>
        </w:tc>
        <w:tc>
          <w:tcPr>
            <w:tcW w:w="1850"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lang w:eastAsia="zh-CN"/>
              </w:rPr>
              <w:t>所属</w:t>
            </w:r>
            <w:r>
              <w:rPr>
                <w:rFonts w:hint="eastAsia" w:ascii="仿宋_GB2312" w:hAnsi="仿宋_GB2312" w:eastAsia="仿宋_GB2312" w:cs="仿宋_GB2312"/>
                <w:b/>
                <w:bCs/>
                <w:sz w:val="24"/>
                <w:szCs w:val="24"/>
              </w:rPr>
              <w:t>领域</w:t>
            </w:r>
          </w:p>
        </w:tc>
        <w:tc>
          <w:tcPr>
            <w:tcW w:w="3589" w:type="dxa"/>
            <w:shd w:val="clear" w:color="auto" w:fill="auto"/>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sz w:val="24"/>
                <w:szCs w:val="24"/>
              </w:rPr>
              <w:t>发布单位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"https://pan.baidu.com/s/1KSMRnLIsoXYgKpbq7fxUXw"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T/CTJPA 005—2018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儿童地垫安全要求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儿童用品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中国玩具和婴童用品协会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"https://pan.baidu.com/s/1VAcN5CujWMaueMQcTtVEsw"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T/CNCIA 02002-2017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室内墙面及木器重涂服务及验收规范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中国涂料工业协会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"https://pan.baidu.com/s/16KgxV1hCGYdF-n_iGNSOhA"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T/FSI 006-2017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水性交联型三氟共聚乳液</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涂料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"https://pan.baidu.com/s/1CZbgj-nJBLJ_Wz5292t52Q"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T/CRIA 16002-2018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耐磨织物整芯阻燃输送带</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橡胶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中国橡胶工业协会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"https://pan.baidu.com/s/1n4vhYmYRNEoPfne9lfszxQ"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T/FSI 010-2017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十甲基环五硅氧烷</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"https://pan.baidu.com/s/1lAeH8TWD_YZLUSMa23rgrg"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T/FSI 007-2017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高沸硅油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有机硅材料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中国氟硅有机材料工业协会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"https://pan.baidu.com/s/12bz5-dD1Y5auKNDvdk2-hQ"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T/CPCIF 0023-2018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"https://pan.baidu.com/s/131NXUpfSjFwQMM9hycV40A"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T/CPCIF 0024-2018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锅炉用醇基燃料储存和供液设施技术要求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化工新能源</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"https://pan.baidu.com/s/1859N6FJN60P8vtKNI4sKRw"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T/SSEA 0016-2018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轿车轮毂用碳素轴承钢</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"https://pan.baidu.com/s/1rk2T270CJ2EyiojQwZJOKA"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T/SSEA 0020-2019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单轨交通轨道用耐候钢板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中国特钢企业协会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"https://pan.baidu.com/s/1bxBWSx98EH3petbyj2M5sA"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T/CTTM 00053-2018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 碲含量的测定 氢化物发生-原子吸收光谱法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中关村材料试验技术联盟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"https://pan.baidu.com/s/1GJUJik8aOl9qSXOrdHTw2w"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T/HBMIA 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钢铁企业环境保护成本统计导则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钢铁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河北省冶金行业协会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"https://pan.baidu.com/s/1ZSfn4r-YD3kRc0wGFnHTjQ"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40-2018 T/CAATB 003-2018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机制砂石生产企业实验室基本条件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建筑砂石</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"https://pan.baidu.com/s/1Qh6E-rhoPoejwF-zhQnj6Q"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37—2018/T/CCPA 7—2018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超高性能混凝土基本性能与试验方法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"https://pan.baidu.com/s/1aeMUzz58I7771K8kkX9N9A"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38-2018 T/CAATB 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高性能混凝土用骨料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"https://pan.baidu.com/s/1pZImDO3j9xkrVQDHNdcG4g"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29-2018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水泥</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"https://pan.baidu.com/s/1Waaj1qZ-UOSW2ST8B7J8ww"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预拌混凝土和湿拌砂浆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水泥及混凝土</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"https://pan.baidu.com/s/1Xo3-CCresgg_rqSady641Q"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产品生命周期评价技术规范 陶瓷砖（板）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"https://pan.baidu.com/s/1KuYYq7KFVUJAdl7XLmwWEQ"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石膏砌块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装饰装修材料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"https://pan.baidu.com/s/1NIviqqo_TjD6zsH0bjT02Q"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T/CBMF 35-2018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玻璃纤维增强塑料加筋管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建筑新材料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中国建筑材料联合会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"https://pan.baidu.com/s/1ncpJZXU_PFLaDzlZmtuIOw"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T/CANSI 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船用金属材料试样制备技术要求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船舶材料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中国船舶工业行业协会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"https://pan.baidu.com/s/1Nqpj-TlmN8X1ParckgX3GQ"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T/CIE 045-2017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"https://pan.baidu.com/s/1u6GzG75Wbjbwm8_S-JeAQQ"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T/CIE 046-2017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空间机器人地面试验要求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机器人</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"https://pan.baidu.com/s/1sOY0BoZRDOZaTsrbjN0tLg"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T/CMIF 21.1,2,4,5,6</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《机器的远程诊断服务 数据规范》系列标准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机械服务业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"https://pan.baidu.com/s/1iujUdSfvc8JNtoOqUxtAxQ"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T/WLJC13-2018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弧面凸轮技术条件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机械零部件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温岭市机床装备行业协会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"https://pan.baidu.com/s/17-kye51O_kqFXeeZRlGbqg"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T/CMES 24002-2018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水液压系统通用技术条件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"https://pan.baidu.com/s/1dr10DsXSzhOflae6sj3wEQ"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T/CMES 24001-2018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三轴六自由度液压振动试验系统</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通用机械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中国机械工程学会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"https://pan.baidu.com/s/1QQeNVGg3UnC0_U6O2dEjwA"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T/CCMA 0063-2018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盾构机操作、使用规范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"https://pan.baidu.com/s/1Lnurq2RSVE9AQdhyACSN9A"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T/CCMA 0067-2018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安全标识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"https://pan.baidu.com/s/1akbIXxR6Q6lijA-SrvuuRQ"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T/CCMA 0061-2018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塔式起重机防碰撞装置</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"https://pan.baidu.com/s/1zFpzfmjgFf7fTv5oFtQd5A"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T/CCMA 0065-2018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全断面隧道掘进机检验与验收通用规范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"https://pan.baidu.com/s/12Pv3sGZ9HJB2rTbegFou2Q"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T/LZBX005-2019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极地工况 工程机械带负载冷起动试验方法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工程机械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柳州市标准技术协会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"https://pan.baidu.com/s/1N4J1UTGQSkpNduOYTnZ26g"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T/CSMA 001－2017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缝制机械行业售后服务标准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缝纫机械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中国缝制机械协会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"https://pan.baidu.com/s/1eeafTTJLbpWo3W3KAy0oYw"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T/GDEIA 3-2017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八边封站立式膜袋全自动制袋机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包装机械</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广东省薄膜及设备行业协会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"https://pan.baidu.com/s/1NCsDnykYDjsliY36MlY7fA"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T/CEEIA 339-2018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有机物感温型热熔断体技术要求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"https://pan.baidu.com/s/1fWaSQm1jNko80TC5bDXMXw"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T/CEEIA 342-2018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风力发电机组防孤岛效应测试规程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"https://pan.baidu.com/s/1uCVCTNjxLRf3Q3T1atZZgg"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318-2018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电线电缆用聚合物卤素含量检测 氧弹燃烧-离子色谱法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电工</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"https://pan.baidu.com/s/1RIgfaznUfMD9wHkkv7TQig"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T/CFA 031103.5--2018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铸造数字化工厂通用技术要求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"https://pan.baidu.com/s/1XgGMwTT8eNmeZl3KVpZByg"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T/CFA 031103.3--2018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铸造3D 打印砂型成形单元通用技术要求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"https://pan.baidu.com/s/1nVzaJCrGvTo6CYSa5xw_KQ"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T/CFA 010604.3-2017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铸钢件焊补部位横贯里氏硬度试验方法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"https://pan.baidu.com/s/1SZssapM6ftDlC4DvF8Cfxg"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T/CFA02010104.01--2017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起吊用球墨铸铁卷筒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"https://pan.baidu.com/s/1uJujobtSKvgBfRmvlbjA-w"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T/CFA 031103.4--2018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铸造工艺数字化设计通用要求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铸造</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中国铸造协会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"https://pan.baidu.com/s/1D_PExvejsP6LVQiOfSd92g"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T/CSAE 86-2018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电动汽车锂离子电池箱火灾防控装置性能要求和试验方法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中国汽车工程学会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"https://pan.baidu.com/s/1NbWvCPFXZ_WmFXahhncS4A"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T/GHDQ 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高寒地区纯电动汽车用锂离子动力电池包和系统性能要求及试验方法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电动汽车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吉林省汽车电子协会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"https://pan.baidu.com/s/1nyXkpeAFOlt7GPiUZKBPCg"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T/CNHA 1017-2018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家用燃气快速热水器 带预热功能的特殊要求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"https://pan.baidu.com/s/1zwRTKPp9jko8l6i4xxIKHw"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330-2019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家用和类似用途空调器防护管槽安装规范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"https://pan.baidu.com/s/1dqSBxcnLutF4zFaYOZcdEQ"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321-2018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电热采暖炉的安全要求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"https://pan.baidu.com/s/1YeEbLboGR4JT0navVU8r2Q"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306－2018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基于大数据平台的智能家电节能技术规范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"https://pan.baidu.com/s/1mNC0PTNiwDP1ycD3ykGBDA"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T/CHEAA 0001—2017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智能家电云云互联互通标准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中国家用电器协会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"https://pan.baidu.com/s/1Clig597iScmkIClN_WlCjQ"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223-2018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智能电视总体技术要求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家电</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"https://pan.baidu.com/s/1uhRtcwOWyS6ImRWx7v959g"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T/CNHA 1009-2018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电子智能门锁</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五金制品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中国五金制品协会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"https://pan.baidu.com/s/10vM16Zhht98R4MlR39ZUZg"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T/TANMI001-2018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塑料安全围栏</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"https://pan.baidu.com/s/13E4R2-oCF-JfTvTnj48QAg"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T/TANMI002-2018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塑料双向拉伸（BOP）网</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塑料制品</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泰安市新材料产业协会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"https://pan.baidu.com/s/1G4DqMjSxUCJKEfzkKYuL6Q"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T/CHINABICYCLE 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电动自行车集中充电设施设备技术规范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自行车</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中国自行车协会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"https://pan.baidu.com/s/1APKbcVECrSQ7wAMyp8GpKA"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T/CNTAC 28—2018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直充面料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"https://pan.baidu.com/s/1Fncs98y0P2wM8iCGrTD45Q"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T/CNTAC 25—2018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高支轻薄衬衫</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"https://pan.baidu.com/s/1LERodmW2zsc88PNzHoKKJw"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T/CNTAC 21—2018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纤维中石墨烯材料的鉴别方法 透射电镜法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"https://pan.baidu.com/s/1wHwjXik26P00z-PFgoyaBg"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T/CTES 1007-2018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纺织用植物染料 靛蓝</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"https://pan.baidu.com/s/1CTdZX82VNi0Er4ugu4vX8w"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T/CTES 1014-2019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纺织用酶 α-淀粉酶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纺织</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中国纺织工程学会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"https://pan.baidu.com/s/1DBheuM0JWJCEphu70o8Cbw"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T/CBIA 005-2019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饮料中微生物的检验（滤膜前处理法）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中国饮料工业协会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"https://pan.baidu.com/s/1qeIt_SUAPFISr1DXa-Ry_Q"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T/CBFIA 04001-2019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食品加工用氨基酸</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中国生物发酵产业协会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"https://pan.baidu.com/s/1O8rlv7vGRO8G2l34jfjz2g"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T/CBJ 5102-2019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保健酒</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中国酒业协会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"https://pan.baidu.com/s/1S-JgJD07riyu22M9CuV9JQ"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T/GZSX 014-2018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豆豉</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食品饮料</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贵州省食品工业协会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"https://pan.baidu.com/s/14i3KNKF6T3Fr_UzheAzdEQ"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T/CALI 0601-2017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景观照明用LED点光源和线条灯接口技术规范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"https://pan.baidu.com/s/1kNG8WxriQZLD0ICf02rdNQ"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T/ZALI 0002—2016</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道路照明用LED灯智能控制技术规范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浙江省照明电器协会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"https://pan.baidu.com/s/1sz-icR3RconGDtbDqYXjyQ"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T/JYBZ 005—2018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中小学教室照明技术规范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照明</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中国教育装备行业协会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"https://pan.baidu.com/s/104IWzCNi7BJF9CXNYcNQgQ"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T/CEMIA 001-2017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光纤预制棒用四氯化硅</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光纤光缆</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中国电子材料行业协会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"https://pan.baidu.com/s/1epI2B6yB08F_GGgo2GzYGg"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 CESA 1051—2019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超级电容器安全技术规范 第2部分：测试方法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69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"https://pan.baidu.com/s/1RbJFLTVBx2F8__lvKOkA-w"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 CESA 1053—2019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超级电容器安全使用指南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超级电容器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"https://pan.baidu.com/s/1_-aQ555T7nVHd7byDcW7eA"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T/CPCA 6043—2016</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单双面碳膜印制板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"https://pan.baidu.com/s/15OiUJZypef-0QaZbMob4qg"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T/CPCA 6042-2016</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银浆贯孔印制电路板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"https://pan.baidu.com/s/1ywyTop4iaIF_NVq99e0s2A"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T/CPCA 4308-2014</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印制板电镀用硫酸铜</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印制电路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中国电子电路行业协会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"https://pan.baidu.com/s/1cHg6etBH_ndSOa12J8CjAw"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1048-2018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 存证应用指南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区块链</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"https://pan.baidu.com/s/1Hgegf7ccO_p8mT3s9QNnqQ"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1026-2018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 深度学习算法评估规范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人工智能</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"https://pan.baidu.com/s/1MjhGoZ9L6r5eQdnhj_eGkg"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1031-2018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工业APP培育指南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工业软件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"https://pan.baidu.com/s/1V9iBJF6cSBpQdNb11QLZMg"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T/CATSI 00 001—2018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野外环境下射频识别标签技术规范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射频识别</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中国技术监督情报协会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"https://pan.baidu.com/s/1p_5xn1-GKG9apUWg_b0nGg"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T/ZOSA 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 Web应用编程接口（API）规范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中关村智能终端操作系统产业联盟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"https://pan.baidu.com/s/1mSPQt2SJU_BLzsZcaI6IqQ"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216-2018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移动智能终端用户体验 软件兼容性技术要求和测试方法</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智能终端</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79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"https://pan.baidu.com/s/15DRNWMfQRps7gTFpJnKoVg"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208-2018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 ICT架构与参考模型</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智慧城市</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"https://pan.baidu.com/s/15IAeopDDUX-R0Kt_yMhgSA"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230—2018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政务云计算平台安全接入规范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"https://pan.baidu.com/s/1S2CMu7qA1PvBkh13r6CIXQ"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229-2018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云计算安全威胁和需求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云计算</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"https://pan.baidu.com/s/1ZlMZUdG_NgYWorqnfEmv9g"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T/WAPIA 028.3—2016</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信息技术 安全技术 实体鉴别 第3部分：采用数字签名技术的机制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中关村无线网络安全产业联盟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"https://pan.baidu.com/s/1TnLE0IoaLEYaFONuh6AJYg"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T_ZBLM 0001-2018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数据备份与恢复服务能力成熟度测评规范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信息安全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北京信息灾备技术产业联盟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"https://pan.baidu.com/s/1Hb2FuIhffPvr06flg_TUYg"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224-2018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呼叫中心营销业务运营管理规范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"https://pan.baidu.com/s/1Pg_Jc_-qhEZacGmzamc67Q"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238.1—2018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支持北斗的移动终端无线射频和电磁兼容技术要求及测量方法 第1 部分：电磁兼容</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"https://pan.baidu.com/s/1F3o4YyuKS3m8yi1uyw7k8g"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T/GDBX 006—2018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数字公共广播系统通用技术规范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广东省标准化协会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"https://pan.baidu.com/s/19YF7zuN5BHl0beZa0quU1w"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T/CPMI 002-2018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停车场信息联网通用技术规范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通信技术/服务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中国物业管理协会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"https://pan.baidu.com/s/1jjMPKuFQhF_P3RC6iMwXVA"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T/CAMET 04005—2018 ~ T/CAMET 04009—2018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《城市轨道交通车地综合通信系统（LTE-M）》系列规范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89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0000FF"/>
                <w:sz w:val="24"/>
                <w:szCs w:val="24"/>
                <w:u w:val="single"/>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"https://pan.baidu.com/s/1dI9SqYSHWGE1JvupRHGoMA"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sz w:val="24"/>
                <w:szCs w:val="24"/>
              </w:rPr>
              <w:t>T/CAMET 04010-2018~ T/CAMET 04013-2018</w:t>
            </w:r>
            <w:r>
              <w:rPr>
                <w:rStyle w:val="8"/>
                <w:rFonts w:hint="default" w:ascii="Times New Roman" w:hAnsi="Times New Roman" w:eastAsia="仿宋_GB2312" w:cs="Times New Roman"/>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 基于通信的列车运行控制系统（CBTC）互联互通》系列规范</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城市轨道交通</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中国城市轨道交通协会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"https://pan.baidu.com/s/1IQloMPHBWN-dDTkfg1arow"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281-2017</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车内非金属材料挥发性有机物和醛酮类物质测试方法和分级指标</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有毒有害物质控制</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"https://pan.baidu.com/s/1xYfX3yxcuLpyAHMtfVygMA"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T/CGMA 033001-2018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压缩空气站能效分级指南</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中国通用机械工业协会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"https://pan.baidu.com/s/15wgtdN1SPF2hP6u4Xx0qxQ"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T/CCMA 0066-2018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沥青混合料搅拌设备 环保排放限值</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节能环保</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中国工程机械工业协会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"https://pan.baidu.com/s/1QLNJZ9GhK-IpF9ro33KZ8A"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T/CISA 005-2018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铸余渣钢用分隔板</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资源综合利用</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"https://pan.baidu.com/s/1YDQpn9F_bg3NopfjUNzG_A"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T/CISA 104-2018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钢塑复合管</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中国钢铁工业协会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"https://pan.baidu.com/s/1QaOgbxxDGsGN0SdqEya_2w"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1032-2019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金属化薄膜电容器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"https://pan.baidu.com/s/1LBUQ2vkhqmTj948hjWSojA"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1033-2019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投影机</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97</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"https://pan.baidu.com/s/1WkjxJgltCubLpm_fnKHY8w"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 xml:space="preserve">T/CEEIA 334-2018 </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家用及类似场所用过电流保护断路器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98</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"https://pan.baidu.com/s/13EFudtiX5MDk7X0wSBSb-A"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T/CEEIA 335-2018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塑料外壳式断路器</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中国电器工业协会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99</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"https://pan.baidu.com/s/1BZDpjp2uDJCM7gvHvZpOSw"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T/CNTAC 33—2019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聚酯涤纶</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100</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"https://pan.baidu.com/s/18SkqropPfzXbcIJjj73x1w"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T/CNTAC 34—2019</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巾被织物</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中国纺织工业联合会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101</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"https://pan.baidu.com/s/1DIBHDLdMls0irYq7q6g1-g"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T/CPCIF 0011-2018 T/CRIA 11001-2018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汽车轮胎</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102</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"https://pan.baidu.com/s/10DWDOI-SCFGRwxBV7a-TPA"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T/CPCIF 0012-2018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绿色设计产品评价技术规范 复合肥料</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中国石油和化学工业联合会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103</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"https://pan.baidu.com/s/1EBKureK61DwL7LfN4H4qJA"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T/CAS 311.1~5-2018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《电器电子产品绿色供应链管理》系列标准</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绿色设计</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104</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"https://pan.baidu.com/s/172DRidmj76ElKL91iKjsOw"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T/ZAII 008—2018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环保渣土车管理终端</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浙江省物联网产业协会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105</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"https://pan.baidu.com/s/1UawzNCwDQd876lTWlTFY7Q"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T/CCSA 220-2018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移动应用广告平台技术要求</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中国通信标准化协会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7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106</w:t>
            </w:r>
          </w:p>
        </w:tc>
        <w:tc>
          <w:tcPr>
            <w:tcW w:w="25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HYPERLINK "https://pan.baidu.com/s/1-ZnvUDUW6UO6hPbTTCnzfA" \t "_parent" </w:instrText>
            </w:r>
            <w:r>
              <w:rPr>
                <w:rFonts w:hint="default" w:ascii="Times New Roman" w:hAnsi="Times New Roman" w:eastAsia="仿宋_GB2312" w:cs="Times New Roman"/>
                <w:sz w:val="24"/>
                <w:szCs w:val="24"/>
              </w:rPr>
              <w:fldChar w:fldCharType="separate"/>
            </w:r>
            <w:r>
              <w:rPr>
                <w:rStyle w:val="8"/>
                <w:rFonts w:hint="default" w:ascii="Times New Roman" w:hAnsi="Times New Roman" w:eastAsia="仿宋_GB2312" w:cs="Times New Roman"/>
                <w:kern w:val="0"/>
                <w:sz w:val="24"/>
                <w:szCs w:val="24"/>
              </w:rPr>
              <w:t>T/CESA 16001-2018</w:t>
            </w:r>
            <w:r>
              <w:rPr>
                <w:rStyle w:val="8"/>
                <w:rFonts w:hint="default" w:ascii="Times New Roman" w:hAnsi="Times New Roman" w:eastAsia="仿宋_GB2312" w:cs="Times New Roman"/>
                <w:kern w:val="0"/>
                <w:sz w:val="24"/>
                <w:szCs w:val="24"/>
              </w:rPr>
              <w:fldChar w:fldCharType="end"/>
            </w:r>
          </w:p>
        </w:tc>
        <w:tc>
          <w:tcPr>
            <w:tcW w:w="546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电子信息行业社会责任管理体系</w:t>
            </w:r>
          </w:p>
        </w:tc>
        <w:tc>
          <w:tcPr>
            <w:tcW w:w="1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其他</w:t>
            </w:r>
          </w:p>
        </w:tc>
        <w:tc>
          <w:tcPr>
            <w:tcW w:w="358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中国电子工业标准化技术协会</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5CE"/>
    <w:rsid w:val="004C36F0"/>
    <w:rsid w:val="00520BEB"/>
    <w:rsid w:val="00575BCF"/>
    <w:rsid w:val="0064740E"/>
    <w:rsid w:val="00650BD9"/>
    <w:rsid w:val="00671871"/>
    <w:rsid w:val="00734DB2"/>
    <w:rsid w:val="007B0A2D"/>
    <w:rsid w:val="00826D5B"/>
    <w:rsid w:val="008B35CE"/>
    <w:rsid w:val="008D3260"/>
    <w:rsid w:val="008E06D9"/>
    <w:rsid w:val="009A5E88"/>
    <w:rsid w:val="00A45440"/>
    <w:rsid w:val="00A50FAF"/>
    <w:rsid w:val="00B033B1"/>
    <w:rsid w:val="00BE78C0"/>
    <w:rsid w:val="00C22649"/>
    <w:rsid w:val="00C27C97"/>
    <w:rsid w:val="00C52FB4"/>
    <w:rsid w:val="00CB76E8"/>
    <w:rsid w:val="00E07671"/>
    <w:rsid w:val="00E44474"/>
    <w:rsid w:val="00EB252C"/>
    <w:rsid w:val="00F05694"/>
    <w:rsid w:val="00F41A8F"/>
    <w:rsid w:val="00F76940"/>
    <w:rsid w:val="00F77AC7"/>
    <w:rsid w:val="01002CFE"/>
    <w:rsid w:val="02A24655"/>
    <w:rsid w:val="08E03786"/>
    <w:rsid w:val="0A967D71"/>
    <w:rsid w:val="0C1C17ED"/>
    <w:rsid w:val="0DE230C9"/>
    <w:rsid w:val="1A4C56E4"/>
    <w:rsid w:val="1BD518A2"/>
    <w:rsid w:val="23CF58FF"/>
    <w:rsid w:val="304F679F"/>
    <w:rsid w:val="3495398F"/>
    <w:rsid w:val="3CA37F49"/>
    <w:rsid w:val="41EC0A89"/>
    <w:rsid w:val="42F67483"/>
    <w:rsid w:val="4764348A"/>
    <w:rsid w:val="4963132A"/>
    <w:rsid w:val="4BEC2CC0"/>
    <w:rsid w:val="4C3540E3"/>
    <w:rsid w:val="4DCC2A84"/>
    <w:rsid w:val="52752F23"/>
    <w:rsid w:val="5A9A1428"/>
    <w:rsid w:val="5C49035D"/>
    <w:rsid w:val="5D1210CB"/>
    <w:rsid w:val="5D754558"/>
    <w:rsid w:val="688C5239"/>
    <w:rsid w:val="6E3F2C1C"/>
    <w:rsid w:val="79966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000FF"/>
      <w:u w:val="single"/>
    </w:rPr>
  </w:style>
  <w:style w:type="character" w:customStyle="1" w:styleId="9">
    <w:name w:val="页眉 字符"/>
    <w:basedOn w:val="6"/>
    <w:link w:val="4"/>
    <w:uiPriority w:val="99"/>
    <w:rPr>
      <w:sz w:val="18"/>
      <w:szCs w:val="18"/>
    </w:rPr>
  </w:style>
  <w:style w:type="character" w:customStyle="1" w:styleId="10">
    <w:name w:val="页脚 字符"/>
    <w:basedOn w:val="6"/>
    <w:link w:val="3"/>
    <w:uiPriority w:val="99"/>
    <w:rPr>
      <w:sz w:val="18"/>
      <w:szCs w:val="18"/>
    </w:rPr>
  </w:style>
  <w:style w:type="character" w:customStyle="1" w:styleId="11">
    <w:name w:val="批注框文本 字符"/>
    <w:basedOn w:val="6"/>
    <w:link w:val="2"/>
    <w:semiHidden/>
    <w:qFormat/>
    <w:uiPriority w:val="99"/>
    <w:rPr>
      <w:sz w:val="18"/>
      <w:szCs w:val="18"/>
    </w:rPr>
  </w:style>
  <w:style w:type="paragraph" w:customStyle="1" w:styleId="12">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3">
    <w:name w:val="font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14">
    <w:name w:val="xl65"/>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5">
    <w:name w:val="xl6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6">
    <w:name w:val="xl67"/>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kern w:val="0"/>
      <w:sz w:val="24"/>
      <w:szCs w:val="24"/>
    </w:rPr>
  </w:style>
  <w:style w:type="paragraph" w:customStyle="1" w:styleId="17">
    <w:name w:val="xl68"/>
    <w:basedOn w:val="1"/>
    <w:qFormat/>
    <w:uiPriority w:val="0"/>
    <w:pPr>
      <w:widowControl/>
      <w:pBdr>
        <w:bottom w:val="single" w:color="auto" w:sz="8" w:space="0"/>
        <w:right w:val="single" w:color="auto" w:sz="8" w:space="0"/>
      </w:pBdr>
      <w:spacing w:before="100" w:beforeAutospacing="1" w:after="100" w:afterAutospacing="1"/>
      <w:jc w:val="center"/>
    </w:pPr>
    <w:rPr>
      <w:rFonts w:ascii="仿宋_GB2312" w:hAnsi="仿宋_GB2312" w:eastAsia="仿宋_GB2312" w:cs="宋体"/>
      <w:kern w:val="0"/>
      <w:sz w:val="24"/>
      <w:szCs w:val="24"/>
    </w:rPr>
  </w:style>
  <w:style w:type="paragraph" w:customStyle="1" w:styleId="18">
    <w:name w:val="xl69"/>
    <w:basedOn w:val="1"/>
    <w:qFormat/>
    <w:uiPriority w:val="0"/>
    <w:pPr>
      <w:widowControl/>
      <w:spacing w:before="100" w:beforeAutospacing="1" w:after="100" w:afterAutospacing="1"/>
      <w:jc w:val="left"/>
    </w:pPr>
    <w:rPr>
      <w:rFonts w:ascii="仿宋" w:hAnsi="仿宋" w:eastAsia="仿宋" w:cs="宋体"/>
      <w:kern w:val="0"/>
      <w:sz w:val="24"/>
      <w:szCs w:val="24"/>
    </w:rPr>
  </w:style>
  <w:style w:type="paragraph" w:customStyle="1" w:styleId="19">
    <w:name w:val="xl70"/>
    <w:basedOn w:val="1"/>
    <w:qFormat/>
    <w:uiPriority w:val="0"/>
    <w:pPr>
      <w:widowControl/>
      <w:pBdr>
        <w:top w:val="single" w:color="auto" w:sz="8" w:space="0"/>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paragraph" w:customStyle="1" w:styleId="20">
    <w:name w:val="xl71"/>
    <w:basedOn w:val="1"/>
    <w:qFormat/>
    <w:uiPriority w:val="0"/>
    <w:pPr>
      <w:widowControl/>
      <w:pBdr>
        <w:bottom w:val="single" w:color="auto" w:sz="8" w:space="0"/>
        <w:right w:val="single" w:color="auto" w:sz="8" w:space="0"/>
      </w:pBdr>
      <w:spacing w:before="100" w:beforeAutospacing="1" w:after="100" w:afterAutospacing="1"/>
      <w:jc w:val="left"/>
    </w:pPr>
    <w:rPr>
      <w:rFonts w:ascii="仿宋_GB2312" w:hAnsi="仿宋_GB2312" w:eastAsia="仿宋_GB2312" w:cs="宋体"/>
      <w:color w:val="0000FF"/>
      <w:kern w:val="0"/>
      <w:sz w:val="22"/>
      <w:u w:val="single"/>
    </w:rPr>
  </w:style>
  <w:style w:type="character" w:customStyle="1" w:styleId="21">
    <w:name w:val="Unresolved Mention"/>
    <w:basedOn w:val="6"/>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2057</Words>
  <Characters>11729</Characters>
  <Lines>97</Lines>
  <Paragraphs>27</Paragraphs>
  <TotalTime>2</TotalTime>
  <ScaleCrop>false</ScaleCrop>
  <LinksUpToDate>false</LinksUpToDate>
  <CharactersWithSpaces>13759</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2019-10-25T07:58:00Z</dcterms:created>
  <dc:creator>Asia Wang</dc:creator>
  <cp:lastModifiedBy>Darcy</cp:lastModifiedBy>
  <dcterms:modified xsi:type="dcterms:W3CDTF">2019-10-28T01:57:57Z</dcterms:modified>
  <dc:title>附件</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