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199" w:rightChars="-95"/>
        <w:jc w:val="center"/>
        <w:rPr>
          <w:rFonts w:ascii="黑体" w:eastAsia="黑体"/>
          <w:b/>
          <w:bCs/>
          <w:color w:val="000000"/>
          <w:kern w:val="0"/>
          <w:sz w:val="44"/>
          <w:szCs w:val="44"/>
        </w:rPr>
      </w:pPr>
      <w:r>
        <w:rPr>
          <w:rFonts w:hint="eastAsia" w:ascii="黑体" w:eastAsia="黑体"/>
          <w:b/>
          <w:bCs/>
          <w:color w:val="000000"/>
          <w:kern w:val="0"/>
          <w:sz w:val="44"/>
          <w:szCs w:val="44"/>
        </w:rPr>
        <w:t>GB/T 14885 《固定资产等</w:t>
      </w:r>
      <w:r>
        <w:rPr>
          <w:rFonts w:hint="eastAsia" w:ascii="黑体" w:eastAsia="黑体"/>
          <w:b/>
          <w:bCs/>
          <w:color w:val="000000"/>
          <w:kern w:val="0"/>
          <w:sz w:val="44"/>
          <w:szCs w:val="44"/>
          <w:lang w:eastAsia="zh-CN"/>
        </w:rPr>
        <w:t>资产</w:t>
      </w:r>
      <w:r>
        <w:rPr>
          <w:rFonts w:hint="eastAsia" w:ascii="黑体" w:eastAsia="黑体"/>
          <w:b/>
          <w:bCs/>
          <w:color w:val="000000"/>
          <w:kern w:val="0"/>
          <w:sz w:val="44"/>
          <w:szCs w:val="44"/>
        </w:rPr>
        <w:t>基础分类与代码》（征求意见稿）编制说明</w:t>
      </w:r>
    </w:p>
    <w:p>
      <w:pPr>
        <w:ind w:right="-199" w:rightChars="-95"/>
        <w:jc w:val="center"/>
        <w:rPr>
          <w:rFonts w:ascii="黑体" w:eastAsia="黑体"/>
          <w:b/>
          <w:bCs/>
          <w:color w:val="000000"/>
          <w:kern w:val="0"/>
          <w:sz w:val="44"/>
          <w:szCs w:val="44"/>
        </w:rPr>
      </w:pPr>
    </w:p>
    <w:p>
      <w:pPr>
        <w:pStyle w:val="2"/>
        <w:numPr>
          <w:ilvl w:val="0"/>
          <w:numId w:val="8"/>
        </w:numPr>
        <w:tabs>
          <w:tab w:val="left" w:pos="567"/>
        </w:tabs>
        <w:spacing w:before="0" w:after="0" w:line="360" w:lineRule="auto"/>
        <w:ind w:left="0" w:firstLine="560" w:firstLineChars="200"/>
      </w:pPr>
      <w:r>
        <w:rPr>
          <w:rFonts w:hint="eastAsia"/>
        </w:rPr>
        <w:t>工作简况</w:t>
      </w:r>
    </w:p>
    <w:p>
      <w:pPr>
        <w:pStyle w:val="4"/>
        <w:numPr>
          <w:ilvl w:val="1"/>
          <w:numId w:val="9"/>
        </w:numPr>
        <w:tabs>
          <w:tab w:val="left" w:pos="1134"/>
        </w:tabs>
        <w:spacing w:before="0" w:after="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任务来源</w:t>
      </w:r>
      <w:r>
        <w:rPr>
          <w:rFonts w:hint="eastAsia" w:asciiTheme="minorEastAsia" w:hAnsiTheme="minorEastAsia" w:eastAsiaTheme="minorEastAsia"/>
          <w:sz w:val="24"/>
          <w:szCs w:val="24"/>
          <w:lang w:eastAsia="zh-CN"/>
        </w:rPr>
        <w:t>。</w:t>
      </w:r>
    </w:p>
    <w:p>
      <w:pPr>
        <w:pStyle w:val="21"/>
        <w:spacing w:line="360" w:lineRule="auto"/>
        <w:ind w:left="0"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为推进预算管理一体化系统建设，构建预算管理、资产管理、政府采购环环相扣的全链条闭环管理体系，依据国家标准化管理委员会2</w:t>
      </w:r>
      <w:r>
        <w:rPr>
          <w:rFonts w:asciiTheme="minorEastAsia" w:hAnsiTheme="minorEastAsia" w:eastAsiaTheme="minorEastAsia"/>
          <w:color w:val="000000"/>
          <w:kern w:val="0"/>
          <w:sz w:val="24"/>
        </w:rPr>
        <w:t>020</w:t>
      </w:r>
      <w:r>
        <w:rPr>
          <w:rFonts w:hint="eastAsia" w:asciiTheme="minorEastAsia" w:hAnsiTheme="minorEastAsia" w:eastAsiaTheme="minorEastAsia"/>
          <w:color w:val="000000"/>
          <w:kern w:val="0"/>
          <w:sz w:val="24"/>
        </w:rPr>
        <w:t>年第</w:t>
      </w:r>
      <w:r>
        <w:rPr>
          <w:rFonts w:asciiTheme="minorEastAsia" w:hAnsiTheme="minorEastAsia" w:eastAsiaTheme="minorEastAsia"/>
          <w:color w:val="000000"/>
          <w:kern w:val="0"/>
          <w:sz w:val="24"/>
        </w:rPr>
        <w:t>3</w:t>
      </w:r>
      <w:r>
        <w:rPr>
          <w:rFonts w:hint="eastAsia" w:asciiTheme="minorEastAsia" w:hAnsiTheme="minorEastAsia" w:eastAsiaTheme="minorEastAsia"/>
          <w:color w:val="000000"/>
          <w:kern w:val="0"/>
          <w:sz w:val="24"/>
        </w:rPr>
        <w:t>批推荐性国家标准立项计划，由财政部提出，由全国资产管理标准化技术委员会（SAC/TC 583）归口，财政部组织开展</w:t>
      </w:r>
      <w:r>
        <w:rPr>
          <w:rFonts w:asciiTheme="minorEastAsia" w:hAnsiTheme="minorEastAsia" w:eastAsiaTheme="minorEastAsia"/>
          <w:color w:val="000000"/>
          <w:kern w:val="0"/>
          <w:sz w:val="24"/>
        </w:rPr>
        <w:t>GB/T 14885</w:t>
      </w:r>
      <w:r>
        <w:rPr>
          <w:rFonts w:hint="eastAsia" w:asciiTheme="minorEastAsia" w:hAnsiTheme="minorEastAsia" w:eastAsiaTheme="minorEastAsia"/>
          <w:color w:val="000000"/>
          <w:kern w:val="0"/>
          <w:sz w:val="24"/>
        </w:rPr>
        <w:t>—2</w:t>
      </w:r>
      <w:r>
        <w:rPr>
          <w:rFonts w:asciiTheme="minorEastAsia" w:hAnsiTheme="minorEastAsia" w:eastAsiaTheme="minorEastAsia"/>
          <w:color w:val="000000"/>
          <w:kern w:val="0"/>
          <w:sz w:val="24"/>
        </w:rPr>
        <w:t>010</w:t>
      </w:r>
      <w:r>
        <w:rPr>
          <w:rFonts w:hint="eastAsia" w:asciiTheme="minorEastAsia" w:hAnsiTheme="minorEastAsia" w:eastAsiaTheme="minorEastAsia"/>
          <w:color w:val="000000"/>
          <w:kern w:val="0"/>
          <w:sz w:val="24"/>
        </w:rPr>
        <w:t>《固定资产分类与代码》国家标准修订工作。此次修订遵循政府会计准则制度，与《政府采购品目分类目录》保持协调性，拓展资产类目，并拟在报批时将标准名称由《固定资产分类与代码》调整为《</w:t>
      </w:r>
      <w:r>
        <w:rPr>
          <w:rFonts w:hint="eastAsia" w:asciiTheme="minorEastAsia" w:hAnsiTheme="minorEastAsia" w:eastAsiaTheme="minorEastAsia"/>
          <w:color w:val="000000"/>
          <w:kern w:val="0"/>
          <w:sz w:val="24"/>
          <w:lang w:eastAsia="zh-CN"/>
        </w:rPr>
        <w:t>固定资产等资产基础分类</w:t>
      </w:r>
      <w:r>
        <w:rPr>
          <w:rFonts w:hint="eastAsia" w:asciiTheme="minorEastAsia" w:hAnsiTheme="minorEastAsia" w:eastAsiaTheme="minorEastAsia"/>
          <w:color w:val="000000"/>
          <w:kern w:val="0"/>
          <w:sz w:val="24"/>
        </w:rPr>
        <w:t>与代码》。</w:t>
      </w:r>
    </w:p>
    <w:p>
      <w:pPr>
        <w:pStyle w:val="21"/>
        <w:spacing w:line="360" w:lineRule="auto"/>
        <w:ind w:left="0"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国家标准修订工作由财政部资产管理司、中国标准化研究院等单位负责起草，该标准2020年列入国家标准化管理委员会国家标准修订计划，计划编号为20203589-T-469。</w:t>
      </w:r>
    </w:p>
    <w:p>
      <w:pPr>
        <w:pStyle w:val="4"/>
        <w:numPr>
          <w:ilvl w:val="1"/>
          <w:numId w:val="9"/>
        </w:numPr>
        <w:tabs>
          <w:tab w:val="left" w:pos="1134"/>
        </w:tabs>
        <w:spacing w:before="0" w:after="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目的和意义</w:t>
      </w:r>
      <w:r>
        <w:rPr>
          <w:rFonts w:hint="eastAsia" w:asciiTheme="minorEastAsia" w:hAnsiTheme="minorEastAsia" w:eastAsiaTheme="minorEastAsia"/>
          <w:sz w:val="24"/>
          <w:szCs w:val="24"/>
          <w:lang w:eastAsia="zh-CN"/>
        </w:rPr>
        <w:t>。</w:t>
      </w:r>
    </w:p>
    <w:p>
      <w:pPr>
        <w:pStyle w:val="21"/>
        <w:spacing w:line="360" w:lineRule="auto"/>
        <w:ind w:left="0"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预算管理一体化将预算管理全流程作为一个完整的系统，实现业务管理与信息系统紧密结合。资产管理是预算管理重要组成部分，将资产管理嵌入预算编制、预算执行、会计核算、决算和报告等业务环节进行一体化设计，建立财政资金形成资产的全链条管理机制，是预算管理一体化系统建设的重要内容。在此过程中，需要对各类资产进行分类并赋予代码，为资产管理信息化建设提供统一的标准基础平台。</w:t>
      </w:r>
    </w:p>
    <w:p>
      <w:pPr>
        <w:pStyle w:val="21"/>
        <w:spacing w:line="360" w:lineRule="auto"/>
        <w:ind w:left="0" w:firstLine="480" w:firstLineChars="200"/>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lang w:eastAsia="zh-CN"/>
        </w:rPr>
        <w:t>固定资产等资产基础分类</w:t>
      </w:r>
      <w:r>
        <w:rPr>
          <w:rFonts w:hint="eastAsia" w:asciiTheme="minorEastAsia" w:hAnsiTheme="minorEastAsia" w:eastAsiaTheme="minorEastAsia"/>
          <w:color w:val="000000"/>
          <w:kern w:val="0"/>
          <w:sz w:val="24"/>
        </w:rPr>
        <w:t>与代码》国家标准，是在充分调研我国各类组织资产管理需求的基础上进行分类的，聚焦资产</w:t>
      </w:r>
      <w:r>
        <w:rPr>
          <w:rFonts w:hint="eastAsia" w:asciiTheme="minorEastAsia" w:hAnsiTheme="minorEastAsia" w:eastAsiaTheme="minorEastAsia"/>
          <w:color w:val="000000"/>
          <w:kern w:val="0"/>
          <w:sz w:val="24"/>
          <w:lang w:eastAsia="zh-CN"/>
        </w:rPr>
        <w:t>基本</w:t>
      </w:r>
      <w:r>
        <w:rPr>
          <w:rFonts w:hint="eastAsia" w:asciiTheme="minorEastAsia" w:hAnsiTheme="minorEastAsia" w:eastAsiaTheme="minorEastAsia"/>
          <w:color w:val="000000"/>
          <w:kern w:val="0"/>
          <w:sz w:val="24"/>
        </w:rPr>
        <w:t>属性，与政府采购品目充分衔接，实现资产从预算、管理到采购、登记等所有环节的全程管理，可以更好地规范资产管理活动，也有助于对存量资产的合理调配使用，提高国有资产的</w:t>
      </w:r>
      <w:r>
        <w:rPr>
          <w:rFonts w:hint="eastAsia" w:asciiTheme="minorEastAsia" w:hAnsiTheme="minorEastAsia" w:eastAsiaTheme="minorEastAsia"/>
          <w:color w:val="000000"/>
          <w:kern w:val="0"/>
          <w:sz w:val="24"/>
          <w:lang w:eastAsia="zh-CN"/>
        </w:rPr>
        <w:t>管理效益</w:t>
      </w:r>
      <w:r>
        <w:rPr>
          <w:rFonts w:hint="eastAsia" w:asciiTheme="minorEastAsia" w:hAnsiTheme="minorEastAsia" w:eastAsiaTheme="minorEastAsia"/>
          <w:color w:val="000000"/>
          <w:kern w:val="0"/>
          <w:sz w:val="24"/>
        </w:rPr>
        <w:t>。</w:t>
      </w:r>
    </w:p>
    <w:p>
      <w:pPr>
        <w:pStyle w:val="21"/>
        <w:spacing w:line="360" w:lineRule="auto"/>
        <w:ind w:left="0" w:firstLine="480" w:firstLineChars="200"/>
        <w:rPr>
          <w:rFonts w:hint="eastAsia" w:asciiTheme="minorEastAsia" w:hAnsiTheme="minorEastAsia" w:eastAsiaTheme="minorEastAsia"/>
          <w:color w:val="000000"/>
          <w:kern w:val="0"/>
          <w:sz w:val="24"/>
          <w:u w:val="none"/>
        </w:rPr>
      </w:pPr>
      <w:r>
        <w:rPr>
          <w:rFonts w:hint="eastAsia" w:asciiTheme="minorEastAsia" w:hAnsiTheme="minorEastAsia" w:eastAsiaTheme="minorEastAsia"/>
          <w:color w:val="000000"/>
          <w:kern w:val="0"/>
          <w:sz w:val="24"/>
          <w:u w:val="none"/>
        </w:rPr>
        <w:t>《</w:t>
      </w:r>
      <w:r>
        <w:rPr>
          <w:rFonts w:hint="eastAsia" w:asciiTheme="minorEastAsia" w:hAnsiTheme="minorEastAsia" w:eastAsiaTheme="minorEastAsia"/>
          <w:color w:val="000000"/>
          <w:kern w:val="0"/>
          <w:sz w:val="24"/>
          <w:u w:val="none"/>
          <w:lang w:eastAsia="zh-CN"/>
        </w:rPr>
        <w:t>固定资产等资产基础分类</w:t>
      </w:r>
      <w:r>
        <w:rPr>
          <w:rFonts w:hint="eastAsia" w:asciiTheme="minorEastAsia" w:hAnsiTheme="minorEastAsia" w:eastAsiaTheme="minorEastAsia"/>
          <w:color w:val="000000"/>
          <w:kern w:val="0"/>
          <w:sz w:val="24"/>
          <w:u w:val="none"/>
        </w:rPr>
        <w:t>与代码》国家标准，是在遵从现有会计准则制度基础上，支撑固定资产、公共基础设施、文物文化资产、政府储备物资、保障性住房、存货等资产管理</w:t>
      </w:r>
      <w:r>
        <w:rPr>
          <w:rFonts w:hint="eastAsia" w:asciiTheme="minorEastAsia" w:hAnsiTheme="minorEastAsia" w:eastAsiaTheme="minorEastAsia"/>
          <w:color w:val="000000"/>
          <w:kern w:val="0"/>
          <w:sz w:val="24"/>
          <w:u w:val="none"/>
          <w:lang w:eastAsia="zh-CN"/>
        </w:rPr>
        <w:t>需求</w:t>
      </w:r>
      <w:r>
        <w:rPr>
          <w:rFonts w:hint="eastAsia" w:asciiTheme="minorEastAsia" w:hAnsiTheme="minorEastAsia" w:eastAsiaTheme="minorEastAsia"/>
          <w:color w:val="000000"/>
          <w:kern w:val="0"/>
          <w:sz w:val="24"/>
          <w:u w:val="none"/>
        </w:rPr>
        <w:t>，立足服务信息系统所制定的底层</w:t>
      </w:r>
      <w:r>
        <w:rPr>
          <w:rFonts w:hint="eastAsia" w:asciiTheme="minorEastAsia" w:hAnsiTheme="minorEastAsia" w:eastAsiaTheme="minorEastAsia"/>
          <w:color w:val="000000"/>
          <w:kern w:val="0"/>
          <w:sz w:val="24"/>
          <w:u w:val="none"/>
          <w:lang w:eastAsia="zh-CN"/>
        </w:rPr>
        <w:t>技术</w:t>
      </w:r>
      <w:r>
        <w:rPr>
          <w:rFonts w:hint="eastAsia" w:asciiTheme="minorEastAsia" w:hAnsiTheme="minorEastAsia" w:eastAsiaTheme="minorEastAsia"/>
          <w:color w:val="000000"/>
          <w:kern w:val="0"/>
          <w:sz w:val="24"/>
          <w:u w:val="none"/>
        </w:rPr>
        <w:t>分类、代码及计量单位。</w:t>
      </w:r>
    </w:p>
    <w:p>
      <w:pPr>
        <w:pStyle w:val="4"/>
        <w:numPr>
          <w:ilvl w:val="1"/>
          <w:numId w:val="9"/>
        </w:numPr>
        <w:tabs>
          <w:tab w:val="left" w:pos="1134"/>
        </w:tabs>
        <w:spacing w:before="0" w:after="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w:t>
      </w:r>
      <w:r>
        <w:rPr>
          <w:rFonts w:asciiTheme="minorEastAsia" w:hAnsiTheme="minorEastAsia" w:eastAsiaTheme="minorEastAsia"/>
          <w:sz w:val="24"/>
          <w:szCs w:val="24"/>
        </w:rPr>
        <w:t>工作过程</w:t>
      </w:r>
      <w:r>
        <w:rPr>
          <w:rFonts w:hint="eastAsia" w:asciiTheme="minorEastAsia" w:hAnsiTheme="minorEastAsia" w:eastAsiaTheme="minorEastAsia"/>
          <w:sz w:val="24"/>
          <w:szCs w:val="24"/>
          <w:lang w:eastAsia="zh-CN"/>
        </w:rPr>
        <w:t>。</w:t>
      </w:r>
    </w:p>
    <w:p>
      <w:pPr>
        <w:widowControl/>
        <w:spacing w:line="360" w:lineRule="auto"/>
        <w:ind w:right="301" w:firstLine="470" w:firstLineChars="196"/>
        <w:jc w:val="left"/>
        <w:rPr>
          <w:rFonts w:hint="eastAsia" w:ascii="宋体" w:hAnsi="宋体" w:eastAsia="宋体" w:cs="Tahoma"/>
          <w:b/>
          <w:color w:val="000000"/>
          <w:kern w:val="0"/>
          <w:sz w:val="24"/>
          <w:lang w:eastAsia="zh-CN"/>
        </w:rPr>
      </w:pPr>
      <w:bookmarkStart w:id="0" w:name="_Toc38550203"/>
      <w:bookmarkStart w:id="1" w:name="_Toc49768203"/>
      <w:bookmarkStart w:id="2" w:name="_Toc83614624"/>
      <w:bookmarkStart w:id="3" w:name="_Toc81550534"/>
      <w:bookmarkStart w:id="4" w:name="_Toc38452413"/>
      <w:r>
        <w:rPr>
          <w:rFonts w:hint="eastAsia" w:ascii="宋体" w:hAnsi="宋体" w:cs="Tahoma"/>
          <w:b/>
          <w:color w:val="000000"/>
          <w:kern w:val="0"/>
          <w:sz w:val="24"/>
        </w:rPr>
        <w:t>1．准备阶段</w:t>
      </w:r>
      <w:r>
        <w:rPr>
          <w:rFonts w:hint="eastAsia" w:ascii="宋体" w:hAnsi="宋体" w:cs="Tahoma"/>
          <w:b/>
          <w:color w:val="000000"/>
          <w:kern w:val="0"/>
          <w:sz w:val="24"/>
          <w:lang w:eastAsia="zh-CN"/>
        </w:rPr>
        <w:t>。</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20</w:t>
      </w:r>
      <w:r>
        <w:rPr>
          <w:rFonts w:ascii="宋体" w:hAnsi="宋体" w:cs="Tahoma"/>
          <w:color w:val="000000"/>
          <w:kern w:val="0"/>
          <w:sz w:val="24"/>
        </w:rPr>
        <w:t>20</w:t>
      </w:r>
      <w:r>
        <w:rPr>
          <w:rFonts w:hint="eastAsia" w:ascii="宋体" w:hAnsi="宋体" w:cs="Tahoma"/>
          <w:color w:val="000000"/>
          <w:kern w:val="0"/>
          <w:sz w:val="24"/>
        </w:rPr>
        <w:t>年</w:t>
      </w:r>
      <w:r>
        <w:rPr>
          <w:rFonts w:ascii="宋体" w:hAnsi="宋体" w:cs="Tahoma"/>
          <w:color w:val="000000"/>
          <w:kern w:val="0"/>
          <w:sz w:val="24"/>
        </w:rPr>
        <w:t>7</w:t>
      </w:r>
      <w:r>
        <w:rPr>
          <w:rFonts w:hint="eastAsia" w:ascii="宋体" w:hAnsi="宋体" w:cs="Tahoma"/>
          <w:color w:val="000000"/>
          <w:kern w:val="0"/>
          <w:sz w:val="24"/>
        </w:rPr>
        <w:t>月，筹备组织标准制定的前期调研工作方案；</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20</w:t>
      </w:r>
      <w:r>
        <w:rPr>
          <w:rFonts w:ascii="宋体" w:hAnsi="宋体" w:cs="Tahoma"/>
          <w:color w:val="000000"/>
          <w:kern w:val="0"/>
          <w:sz w:val="24"/>
        </w:rPr>
        <w:t>20</w:t>
      </w:r>
      <w:r>
        <w:rPr>
          <w:rFonts w:hint="eastAsia" w:ascii="宋体" w:hAnsi="宋体" w:cs="Tahoma"/>
          <w:color w:val="000000"/>
          <w:kern w:val="0"/>
          <w:sz w:val="24"/>
        </w:rPr>
        <w:t>年</w:t>
      </w:r>
      <w:r>
        <w:rPr>
          <w:rFonts w:ascii="宋体" w:hAnsi="宋体" w:cs="Tahoma"/>
          <w:color w:val="000000"/>
          <w:kern w:val="0"/>
          <w:sz w:val="24"/>
        </w:rPr>
        <w:t>8</w:t>
      </w:r>
      <w:r>
        <w:rPr>
          <w:rFonts w:hint="eastAsia" w:ascii="宋体" w:hAnsi="宋体" w:cs="Tahoma"/>
          <w:color w:val="000000"/>
          <w:kern w:val="0"/>
          <w:sz w:val="24"/>
        </w:rPr>
        <w:t>月，召开</w:t>
      </w:r>
      <w:r>
        <w:rPr>
          <w:rFonts w:hint="eastAsia" w:ascii="宋体" w:hAnsi="宋体" w:cs="Tahoma"/>
          <w:color w:val="000000"/>
          <w:kern w:val="0"/>
          <w:sz w:val="24"/>
          <w:lang w:eastAsia="zh-CN"/>
        </w:rPr>
        <w:t>标准编制</w:t>
      </w:r>
      <w:r>
        <w:rPr>
          <w:rFonts w:hint="eastAsia" w:ascii="宋体" w:hAnsi="宋体" w:cs="Tahoma"/>
          <w:color w:val="000000"/>
          <w:kern w:val="0"/>
          <w:sz w:val="24"/>
        </w:rPr>
        <w:t>组启动会议，标准</w:t>
      </w:r>
      <w:r>
        <w:rPr>
          <w:rFonts w:hint="eastAsia" w:ascii="宋体" w:hAnsi="宋体" w:cs="Tahoma"/>
          <w:color w:val="000000"/>
          <w:kern w:val="0"/>
          <w:sz w:val="24"/>
          <w:lang w:eastAsia="zh-CN"/>
        </w:rPr>
        <w:t>编制</w:t>
      </w:r>
      <w:r>
        <w:rPr>
          <w:rFonts w:hint="eastAsia" w:ascii="宋体" w:hAnsi="宋体" w:cs="Tahoma"/>
          <w:color w:val="000000"/>
          <w:kern w:val="0"/>
          <w:sz w:val="24"/>
        </w:rPr>
        <w:t>组提交工作计划及人员组成等方案；</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20</w:t>
      </w:r>
      <w:r>
        <w:rPr>
          <w:rFonts w:ascii="宋体" w:hAnsi="宋体" w:cs="Tahoma"/>
          <w:color w:val="000000"/>
          <w:kern w:val="0"/>
          <w:sz w:val="24"/>
        </w:rPr>
        <w:t>20</w:t>
      </w:r>
      <w:r>
        <w:rPr>
          <w:rFonts w:hint="eastAsia" w:ascii="宋体" w:hAnsi="宋体" w:cs="Tahoma"/>
          <w:color w:val="000000"/>
          <w:kern w:val="0"/>
          <w:sz w:val="24"/>
        </w:rPr>
        <w:t>年9月，为了解本标准使用情况，对全国资产清查数据进行分析，了解标准修订需求。</w:t>
      </w:r>
    </w:p>
    <w:p>
      <w:pPr>
        <w:widowControl/>
        <w:spacing w:line="360" w:lineRule="auto"/>
        <w:ind w:right="301" w:firstLine="470" w:firstLineChars="196"/>
        <w:jc w:val="left"/>
        <w:rPr>
          <w:rFonts w:hint="eastAsia" w:ascii="宋体" w:hAnsi="宋体" w:eastAsia="宋体" w:cs="Tahoma"/>
          <w:b/>
          <w:color w:val="000000"/>
          <w:kern w:val="0"/>
          <w:sz w:val="24"/>
          <w:lang w:eastAsia="zh-CN"/>
        </w:rPr>
      </w:pPr>
      <w:r>
        <w:rPr>
          <w:rFonts w:hint="eastAsia" w:ascii="宋体" w:hAnsi="宋体" w:cs="Tahoma"/>
          <w:b/>
          <w:color w:val="000000"/>
          <w:kern w:val="0"/>
          <w:sz w:val="24"/>
        </w:rPr>
        <w:t>2．调研阶段</w:t>
      </w:r>
      <w:r>
        <w:rPr>
          <w:rFonts w:hint="eastAsia" w:ascii="宋体" w:hAnsi="宋体" w:cs="Tahoma"/>
          <w:b/>
          <w:color w:val="000000"/>
          <w:kern w:val="0"/>
          <w:sz w:val="24"/>
          <w:lang w:eastAsia="zh-CN"/>
        </w:rPr>
        <w:t>。</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20</w:t>
      </w:r>
      <w:r>
        <w:rPr>
          <w:rFonts w:ascii="宋体" w:hAnsi="宋体" w:cs="Tahoma"/>
          <w:color w:val="000000"/>
          <w:kern w:val="0"/>
          <w:sz w:val="24"/>
        </w:rPr>
        <w:t>20</w:t>
      </w:r>
      <w:r>
        <w:rPr>
          <w:rFonts w:hint="eastAsia" w:ascii="宋体" w:hAnsi="宋体" w:cs="Tahoma"/>
          <w:color w:val="000000"/>
          <w:kern w:val="0"/>
          <w:sz w:val="24"/>
        </w:rPr>
        <w:t>年10月，进入调研阶段，标准编制组前期以资料调研方式，收集相关标准、项目文档进行大纲设计；</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2020年11月，标准编制组以标准大纲草案为基础，通过各种渠道对相关单位进行调研，分析讨论、资料整理、汇总；</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20</w:t>
      </w:r>
      <w:r>
        <w:rPr>
          <w:rFonts w:ascii="宋体" w:hAnsi="宋体" w:cs="Tahoma"/>
          <w:color w:val="000000"/>
          <w:kern w:val="0"/>
          <w:sz w:val="24"/>
        </w:rPr>
        <w:t>20</w:t>
      </w:r>
      <w:r>
        <w:rPr>
          <w:rFonts w:hint="eastAsia" w:ascii="宋体" w:hAnsi="宋体" w:cs="Tahoma"/>
          <w:color w:val="000000"/>
          <w:kern w:val="0"/>
          <w:sz w:val="24"/>
        </w:rPr>
        <w:t>年12月，多次召开研讨会，参会的部门和单位包含住房城乡建设部、教育部、交通部、水利部、卫生健康委、文物局、中科院、久其软件等。在研讨会上，对不同行业的资产分类标准进行讨论整理，标准</w:t>
      </w:r>
      <w:r>
        <w:rPr>
          <w:rFonts w:hint="eastAsia" w:ascii="宋体" w:hAnsi="宋体" w:cs="Tahoma"/>
          <w:color w:val="000000"/>
          <w:kern w:val="0"/>
          <w:sz w:val="24"/>
          <w:lang w:eastAsia="zh-CN"/>
        </w:rPr>
        <w:t>编制</w:t>
      </w:r>
      <w:r>
        <w:rPr>
          <w:rFonts w:hint="eastAsia" w:ascii="宋体" w:hAnsi="宋体" w:cs="Tahoma"/>
          <w:color w:val="000000"/>
          <w:kern w:val="0"/>
          <w:sz w:val="24"/>
        </w:rPr>
        <w:t>组就资产管理的需求、资产分类原则等多方面内容进行了研讨。</w:t>
      </w:r>
    </w:p>
    <w:p>
      <w:pPr>
        <w:widowControl/>
        <w:spacing w:line="360" w:lineRule="auto"/>
        <w:ind w:right="301" w:firstLine="470" w:firstLineChars="196"/>
        <w:jc w:val="left"/>
        <w:rPr>
          <w:rFonts w:hint="eastAsia" w:ascii="宋体" w:hAnsi="宋体" w:eastAsia="宋体" w:cs="Tahoma"/>
          <w:b/>
          <w:color w:val="000000"/>
          <w:kern w:val="0"/>
          <w:sz w:val="24"/>
          <w:lang w:eastAsia="zh-CN"/>
        </w:rPr>
      </w:pPr>
      <w:r>
        <w:rPr>
          <w:rFonts w:hint="eastAsia" w:ascii="宋体" w:hAnsi="宋体" w:cs="Tahoma"/>
          <w:b/>
          <w:color w:val="000000"/>
          <w:kern w:val="0"/>
          <w:sz w:val="24"/>
        </w:rPr>
        <w:t>3．起草阶段</w:t>
      </w:r>
      <w:r>
        <w:rPr>
          <w:rFonts w:hint="eastAsia" w:ascii="宋体" w:hAnsi="宋体" w:cs="Tahoma"/>
          <w:b/>
          <w:color w:val="000000"/>
          <w:kern w:val="0"/>
          <w:sz w:val="24"/>
          <w:lang w:eastAsia="zh-CN"/>
        </w:rPr>
        <w:t>。</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202</w:t>
      </w:r>
      <w:r>
        <w:rPr>
          <w:rFonts w:ascii="宋体" w:hAnsi="宋体" w:cs="Tahoma"/>
          <w:color w:val="000000"/>
          <w:kern w:val="0"/>
          <w:sz w:val="24"/>
        </w:rPr>
        <w:t>1</w:t>
      </w:r>
      <w:r>
        <w:rPr>
          <w:rFonts w:hint="eastAsia" w:ascii="宋体" w:hAnsi="宋体" w:cs="Tahoma"/>
          <w:color w:val="000000"/>
          <w:kern w:val="0"/>
          <w:sz w:val="24"/>
        </w:rPr>
        <w:t>年</w:t>
      </w:r>
      <w:r>
        <w:rPr>
          <w:rFonts w:ascii="宋体" w:hAnsi="宋体" w:cs="Tahoma"/>
          <w:color w:val="000000"/>
          <w:kern w:val="0"/>
          <w:sz w:val="24"/>
        </w:rPr>
        <w:t>1</w:t>
      </w:r>
      <w:r>
        <w:rPr>
          <w:rFonts w:hint="eastAsia" w:ascii="宋体" w:hAnsi="宋体" w:cs="Tahoma"/>
          <w:color w:val="000000"/>
          <w:kern w:val="0"/>
          <w:sz w:val="24"/>
        </w:rPr>
        <w:t>月至2月，标准编制组经过多次研究和讨论，充分听取各单位的意见并研究相关资料，开展标准起草工作；</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标准起草过程中，标准</w:t>
      </w:r>
      <w:r>
        <w:rPr>
          <w:rFonts w:hint="eastAsia" w:ascii="宋体" w:hAnsi="宋体" w:cs="Tahoma"/>
          <w:color w:val="000000"/>
          <w:kern w:val="0"/>
          <w:sz w:val="24"/>
          <w:lang w:eastAsia="zh-CN"/>
        </w:rPr>
        <w:t>编制</w:t>
      </w:r>
      <w:r>
        <w:rPr>
          <w:rFonts w:hint="eastAsia" w:ascii="宋体" w:hAnsi="宋体" w:cs="Tahoma"/>
          <w:color w:val="000000"/>
          <w:kern w:val="0"/>
          <w:sz w:val="24"/>
        </w:rPr>
        <w:t>组收集了大量有关的标准和资料，作为本次修订的参考，例如：联合国产品总分类（</w:t>
      </w:r>
      <w:r>
        <w:rPr>
          <w:rFonts w:ascii="宋体" w:hAnsi="宋体" w:cs="Tahoma"/>
          <w:color w:val="000000"/>
          <w:kern w:val="0"/>
          <w:sz w:val="24"/>
        </w:rPr>
        <w:t>CPC</w:t>
      </w:r>
      <w:r>
        <w:rPr>
          <w:rFonts w:hint="eastAsia" w:ascii="宋体" w:hAnsi="宋体" w:cs="Tahoma"/>
          <w:color w:val="000000"/>
          <w:kern w:val="0"/>
          <w:sz w:val="24"/>
        </w:rPr>
        <w:t>）、联合国标准产品及服务分类编码（</w:t>
      </w:r>
      <w:r>
        <w:rPr>
          <w:rFonts w:ascii="宋体" w:hAnsi="宋体" w:cs="Tahoma"/>
          <w:color w:val="000000"/>
          <w:kern w:val="0"/>
          <w:sz w:val="24"/>
        </w:rPr>
        <w:t>SPSC</w:t>
      </w:r>
      <w:r>
        <w:rPr>
          <w:rFonts w:hint="eastAsia" w:ascii="宋体" w:hAnsi="宋体" w:cs="Tahoma"/>
          <w:color w:val="000000"/>
          <w:kern w:val="0"/>
          <w:sz w:val="24"/>
        </w:rPr>
        <w:t>）、《政府采购品目分类目录》等。</w:t>
      </w:r>
    </w:p>
    <w:bookmarkEnd w:id="0"/>
    <w:bookmarkEnd w:id="1"/>
    <w:bookmarkEnd w:id="2"/>
    <w:bookmarkEnd w:id="3"/>
    <w:bookmarkEnd w:id="4"/>
    <w:p>
      <w:pPr>
        <w:widowControl/>
        <w:spacing w:line="360" w:lineRule="auto"/>
        <w:ind w:right="301" w:firstLine="470" w:firstLineChars="196"/>
        <w:jc w:val="left"/>
        <w:rPr>
          <w:rFonts w:hint="eastAsia" w:ascii="宋体" w:hAnsi="宋体" w:eastAsia="宋体" w:cs="Tahoma"/>
          <w:b/>
          <w:color w:val="000000"/>
          <w:kern w:val="0"/>
          <w:sz w:val="24"/>
          <w:lang w:eastAsia="zh-CN"/>
        </w:rPr>
      </w:pPr>
      <w:r>
        <w:rPr>
          <w:rFonts w:hint="eastAsia" w:ascii="宋体" w:hAnsi="宋体" w:cs="Tahoma"/>
          <w:b/>
          <w:color w:val="000000"/>
          <w:kern w:val="0"/>
          <w:sz w:val="24"/>
          <w:lang w:val="en-US" w:eastAsia="zh-CN"/>
        </w:rPr>
        <w:t>4</w:t>
      </w:r>
      <w:r>
        <w:rPr>
          <w:rFonts w:hint="eastAsia" w:ascii="宋体" w:hAnsi="宋体" w:cs="Tahoma"/>
          <w:b/>
          <w:color w:val="000000"/>
          <w:kern w:val="0"/>
          <w:sz w:val="24"/>
        </w:rPr>
        <w:t>．征求意见阶段</w:t>
      </w:r>
      <w:r>
        <w:rPr>
          <w:rFonts w:hint="eastAsia" w:ascii="宋体" w:hAnsi="宋体" w:cs="Tahoma"/>
          <w:b/>
          <w:color w:val="000000"/>
          <w:kern w:val="0"/>
          <w:sz w:val="24"/>
          <w:lang w:eastAsia="zh-CN"/>
        </w:rPr>
        <w:t>。</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202</w:t>
      </w:r>
      <w:r>
        <w:rPr>
          <w:rFonts w:ascii="宋体" w:hAnsi="宋体" w:cs="Tahoma"/>
          <w:color w:val="000000"/>
          <w:kern w:val="0"/>
          <w:sz w:val="24"/>
        </w:rPr>
        <w:t>1</w:t>
      </w:r>
      <w:r>
        <w:rPr>
          <w:rFonts w:hint="eastAsia" w:ascii="宋体" w:hAnsi="宋体" w:cs="Tahoma"/>
          <w:color w:val="000000"/>
          <w:kern w:val="0"/>
          <w:sz w:val="24"/>
        </w:rPr>
        <w:t>年3月-</w:t>
      </w:r>
      <w:r>
        <w:rPr>
          <w:rFonts w:ascii="宋体" w:hAnsi="宋体" w:cs="Tahoma"/>
          <w:color w:val="000000"/>
          <w:kern w:val="0"/>
          <w:sz w:val="24"/>
        </w:rPr>
        <w:t>5</w:t>
      </w:r>
      <w:r>
        <w:rPr>
          <w:rFonts w:hint="eastAsia" w:ascii="宋体" w:hAnsi="宋体" w:cs="Tahoma"/>
          <w:color w:val="000000"/>
          <w:kern w:val="0"/>
          <w:sz w:val="24"/>
        </w:rPr>
        <w:t>月，标准编制组完成</w:t>
      </w:r>
      <w:r>
        <w:rPr>
          <w:rFonts w:hint="eastAsia"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lang w:eastAsia="zh-CN"/>
        </w:rPr>
        <w:t>固定资产等资产基础分类</w:t>
      </w:r>
      <w:r>
        <w:rPr>
          <w:rFonts w:hint="eastAsia" w:asciiTheme="minorEastAsia" w:hAnsiTheme="minorEastAsia" w:eastAsiaTheme="minorEastAsia"/>
          <w:color w:val="000000"/>
          <w:kern w:val="0"/>
          <w:sz w:val="24"/>
        </w:rPr>
        <w:t>与代码》</w:t>
      </w:r>
      <w:r>
        <w:rPr>
          <w:rFonts w:ascii="宋体" w:hAnsi="宋体" w:cs="Tahoma"/>
          <w:color w:val="000000"/>
          <w:kern w:val="0"/>
          <w:sz w:val="24"/>
        </w:rPr>
        <w:t>征求意见稿、编制说明</w:t>
      </w:r>
      <w:r>
        <w:rPr>
          <w:rFonts w:hint="eastAsia" w:ascii="宋体" w:hAnsi="宋体" w:cs="Tahoma"/>
          <w:color w:val="000000"/>
          <w:kern w:val="0"/>
          <w:sz w:val="24"/>
        </w:rPr>
        <w:t>，并在财政部内部征询了各业务司局的意见并对标准进行不断完善；</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202</w:t>
      </w:r>
      <w:r>
        <w:rPr>
          <w:rFonts w:ascii="宋体" w:hAnsi="宋体" w:cs="Tahoma"/>
          <w:color w:val="000000"/>
          <w:kern w:val="0"/>
          <w:sz w:val="24"/>
        </w:rPr>
        <w:t>1</w:t>
      </w:r>
      <w:r>
        <w:rPr>
          <w:rFonts w:hint="eastAsia" w:ascii="宋体" w:hAnsi="宋体" w:cs="Tahoma"/>
          <w:color w:val="000000"/>
          <w:kern w:val="0"/>
          <w:sz w:val="24"/>
        </w:rPr>
        <w:t>年6月，对</w:t>
      </w:r>
      <w:r>
        <w:rPr>
          <w:rFonts w:hint="eastAsia"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lang w:eastAsia="zh-CN"/>
        </w:rPr>
        <w:t>固定资产等资产基础分类</w:t>
      </w:r>
      <w:r>
        <w:rPr>
          <w:rFonts w:hint="eastAsia" w:asciiTheme="minorEastAsia" w:hAnsiTheme="minorEastAsia" w:eastAsiaTheme="minorEastAsia"/>
          <w:color w:val="000000"/>
          <w:kern w:val="0"/>
          <w:sz w:val="24"/>
        </w:rPr>
        <w:t>与代码》</w:t>
      </w:r>
      <w:r>
        <w:rPr>
          <w:rFonts w:hint="eastAsia" w:ascii="宋体" w:hAnsi="宋体" w:cs="Tahoma"/>
          <w:color w:val="000000"/>
          <w:kern w:val="0"/>
          <w:sz w:val="24"/>
        </w:rPr>
        <w:t>公开进行征求意见，并拟在征求意见期间根据各相关方意见建议对标准内容进行进一步完善。</w:t>
      </w:r>
    </w:p>
    <w:p>
      <w:pPr>
        <w:widowControl/>
        <w:spacing w:line="360" w:lineRule="auto"/>
        <w:ind w:right="301" w:firstLine="470" w:firstLineChars="196"/>
        <w:jc w:val="left"/>
        <w:rPr>
          <w:rFonts w:hint="eastAsia" w:ascii="宋体" w:hAnsi="宋体" w:eastAsia="宋体" w:cs="Tahoma"/>
          <w:b/>
          <w:color w:val="000000"/>
          <w:kern w:val="0"/>
          <w:sz w:val="24"/>
          <w:lang w:eastAsia="zh-CN"/>
        </w:rPr>
      </w:pPr>
      <w:r>
        <w:rPr>
          <w:rFonts w:hint="eastAsia" w:ascii="宋体" w:hAnsi="宋体" w:cs="Tahoma"/>
          <w:b/>
          <w:color w:val="000000"/>
          <w:kern w:val="0"/>
          <w:sz w:val="24"/>
        </w:rPr>
        <w:t>5．审查阶段</w:t>
      </w:r>
      <w:r>
        <w:rPr>
          <w:rFonts w:hint="eastAsia" w:ascii="宋体" w:hAnsi="宋体" w:cs="Tahoma"/>
          <w:b/>
          <w:color w:val="000000"/>
          <w:kern w:val="0"/>
          <w:sz w:val="24"/>
          <w:lang w:eastAsia="zh-CN"/>
        </w:rPr>
        <w:t>。</w:t>
      </w:r>
    </w:p>
    <w:p>
      <w:pPr>
        <w:widowControl/>
        <w:numPr>
          <w:ilvl w:val="0"/>
          <w:numId w:val="2"/>
        </w:numPr>
        <w:tabs>
          <w:tab w:val="left" w:pos="1044"/>
        </w:tabs>
        <w:spacing w:line="360" w:lineRule="auto"/>
        <w:ind w:left="1044" w:right="301" w:hanging="284"/>
        <w:jc w:val="left"/>
        <w:rPr>
          <w:rFonts w:ascii="宋体" w:hAnsi="宋体" w:cs="Tahoma"/>
          <w:color w:val="000000"/>
          <w:kern w:val="0"/>
          <w:sz w:val="24"/>
        </w:rPr>
      </w:pPr>
      <w:r>
        <w:rPr>
          <w:rFonts w:hint="eastAsia" w:ascii="宋体" w:hAnsi="宋体" w:cs="Tahoma"/>
          <w:color w:val="000000"/>
          <w:kern w:val="0"/>
          <w:sz w:val="24"/>
        </w:rPr>
        <w:t>拟于20</w:t>
      </w:r>
      <w:r>
        <w:rPr>
          <w:rFonts w:ascii="宋体" w:hAnsi="宋体" w:cs="Tahoma"/>
          <w:color w:val="000000"/>
          <w:kern w:val="0"/>
          <w:sz w:val="24"/>
        </w:rPr>
        <w:t>21</w:t>
      </w:r>
      <w:r>
        <w:rPr>
          <w:rFonts w:hint="eastAsia" w:ascii="宋体" w:hAnsi="宋体" w:cs="Tahoma"/>
          <w:color w:val="000000"/>
          <w:kern w:val="0"/>
          <w:sz w:val="24"/>
        </w:rPr>
        <w:t>年第三季度，召开</w:t>
      </w:r>
      <w:r>
        <w:rPr>
          <w:rFonts w:hint="eastAsia"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lang w:eastAsia="zh-CN"/>
        </w:rPr>
        <w:t>固定资产等资产基础分类</w:t>
      </w:r>
      <w:r>
        <w:rPr>
          <w:rFonts w:hint="eastAsia" w:asciiTheme="minorEastAsia" w:hAnsiTheme="minorEastAsia" w:eastAsiaTheme="minorEastAsia"/>
          <w:color w:val="000000"/>
          <w:kern w:val="0"/>
          <w:sz w:val="24"/>
        </w:rPr>
        <w:t>与代码》送审稿审查会，并在审查会后，根据专家审查意见修改完善，形成报批稿</w:t>
      </w:r>
      <w:r>
        <w:rPr>
          <w:rFonts w:hint="eastAsia" w:ascii="宋体" w:hAnsi="宋体" w:cs="Tahoma"/>
          <w:color w:val="000000"/>
          <w:kern w:val="0"/>
          <w:sz w:val="24"/>
        </w:rPr>
        <w:t>。</w:t>
      </w:r>
    </w:p>
    <w:p>
      <w:pPr>
        <w:pStyle w:val="2"/>
        <w:numPr>
          <w:ilvl w:val="0"/>
          <w:numId w:val="8"/>
        </w:numPr>
        <w:tabs>
          <w:tab w:val="left" w:pos="567"/>
        </w:tabs>
        <w:spacing w:before="0" w:after="0" w:line="360" w:lineRule="auto"/>
        <w:ind w:left="0" w:firstLine="560" w:firstLineChars="200"/>
      </w:pPr>
      <w:r>
        <w:rPr>
          <w:rFonts w:hint="eastAsia"/>
        </w:rPr>
        <w:t>标准</w:t>
      </w:r>
      <w:r>
        <w:t>编制原则与</w:t>
      </w:r>
      <w:r>
        <w:rPr>
          <w:rFonts w:hint="eastAsia"/>
        </w:rPr>
        <w:t>确定标准主要内容的依据</w:t>
      </w:r>
    </w:p>
    <w:p>
      <w:pPr>
        <w:pStyle w:val="4"/>
        <w:numPr>
          <w:ilvl w:val="0"/>
          <w:numId w:val="10"/>
        </w:numPr>
        <w:tabs>
          <w:tab w:val="left" w:pos="1134"/>
        </w:tabs>
        <w:spacing w:before="0" w:after="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标准编制原则</w:t>
      </w:r>
      <w:r>
        <w:rPr>
          <w:rFonts w:hint="eastAsia" w:asciiTheme="minorEastAsia" w:hAnsiTheme="minorEastAsia" w:eastAsiaTheme="minorEastAsia"/>
          <w:sz w:val="24"/>
          <w:szCs w:val="24"/>
          <w:lang w:eastAsia="zh-CN"/>
        </w:rPr>
        <w:t>。</w:t>
      </w:r>
      <w:bookmarkStart w:id="6" w:name="_GoBack"/>
      <w:bookmarkEnd w:id="6"/>
    </w:p>
    <w:p>
      <w:pPr>
        <w:pStyle w:val="21"/>
        <w:spacing w:line="360" w:lineRule="auto"/>
        <w:ind w:left="0" w:firstLine="480" w:firstLineChars="200"/>
        <w:rPr>
          <w:rFonts w:hint="eastAsia" w:cs="Tahoma" w:asciiTheme="minorEastAsia" w:hAnsiTheme="minorEastAsia" w:eastAsiaTheme="minorEastAsia"/>
          <w:b/>
          <w:color w:val="000000"/>
          <w:kern w:val="0"/>
          <w:sz w:val="24"/>
          <w:szCs w:val="22"/>
          <w:lang w:eastAsia="zh-CN"/>
        </w:rPr>
      </w:pPr>
      <w:r>
        <w:rPr>
          <w:rFonts w:hint="eastAsia" w:cs="Tahoma" w:asciiTheme="minorEastAsia" w:hAnsiTheme="minorEastAsia" w:eastAsiaTheme="minorEastAsia"/>
          <w:b/>
          <w:color w:val="000000"/>
          <w:kern w:val="0"/>
          <w:sz w:val="24"/>
          <w:szCs w:val="22"/>
        </w:rPr>
        <w:t>1.</w:t>
      </w:r>
      <w:r>
        <w:rPr>
          <w:rFonts w:hint="eastAsia"/>
        </w:rPr>
        <w:t xml:space="preserve"> </w:t>
      </w:r>
      <w:r>
        <w:rPr>
          <w:rFonts w:hint="eastAsia" w:cs="Tahoma" w:asciiTheme="minorEastAsia" w:hAnsiTheme="minorEastAsia" w:eastAsiaTheme="minorEastAsia"/>
          <w:b/>
          <w:color w:val="000000"/>
          <w:kern w:val="0"/>
          <w:sz w:val="24"/>
          <w:szCs w:val="22"/>
        </w:rPr>
        <w:t>实用性</w:t>
      </w:r>
      <w:r>
        <w:rPr>
          <w:rFonts w:hint="eastAsia" w:cs="Tahoma" w:asciiTheme="minorEastAsia" w:hAnsiTheme="minorEastAsia" w:eastAsiaTheme="minorEastAsia"/>
          <w:b/>
          <w:color w:val="000000"/>
          <w:kern w:val="0"/>
          <w:sz w:val="24"/>
          <w:szCs w:val="22"/>
          <w:lang w:eastAsia="zh-CN"/>
        </w:rPr>
        <w:t>。</w:t>
      </w:r>
    </w:p>
    <w:p>
      <w:pPr>
        <w:pStyle w:val="21"/>
        <w:spacing w:line="360" w:lineRule="auto"/>
        <w:ind w:left="0"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本次修订充分考虑标准的实用性，满足国家及各级管理部门对资产的管理需求。</w:t>
      </w:r>
    </w:p>
    <w:p>
      <w:pPr>
        <w:pStyle w:val="21"/>
        <w:spacing w:line="360" w:lineRule="auto"/>
        <w:ind w:left="0" w:firstLine="480" w:firstLineChars="200"/>
        <w:rPr>
          <w:rFonts w:hint="eastAsia" w:cs="Tahoma" w:asciiTheme="minorEastAsia" w:hAnsiTheme="minorEastAsia" w:eastAsiaTheme="minorEastAsia"/>
          <w:b/>
          <w:color w:val="000000"/>
          <w:kern w:val="0"/>
          <w:sz w:val="24"/>
          <w:szCs w:val="22"/>
          <w:lang w:eastAsia="zh-CN"/>
        </w:rPr>
      </w:pPr>
      <w:r>
        <w:rPr>
          <w:rFonts w:cs="Tahoma" w:asciiTheme="minorEastAsia" w:hAnsiTheme="minorEastAsia" w:eastAsiaTheme="minorEastAsia"/>
          <w:b/>
          <w:color w:val="000000"/>
          <w:kern w:val="0"/>
          <w:sz w:val="24"/>
          <w:szCs w:val="22"/>
        </w:rPr>
        <w:t>2</w:t>
      </w:r>
      <w:r>
        <w:rPr>
          <w:rFonts w:hint="eastAsia" w:cs="Tahoma" w:asciiTheme="minorEastAsia" w:hAnsiTheme="minorEastAsia" w:eastAsiaTheme="minorEastAsia"/>
          <w:b/>
          <w:color w:val="000000"/>
          <w:kern w:val="0"/>
          <w:sz w:val="24"/>
          <w:szCs w:val="22"/>
        </w:rPr>
        <w:t>.</w:t>
      </w:r>
      <w:r>
        <w:rPr>
          <w:rFonts w:hint="eastAsia"/>
        </w:rPr>
        <w:t xml:space="preserve"> </w:t>
      </w:r>
      <w:r>
        <w:rPr>
          <w:rFonts w:hint="eastAsia" w:cs="Tahoma" w:asciiTheme="minorEastAsia" w:hAnsiTheme="minorEastAsia" w:eastAsiaTheme="minorEastAsia"/>
          <w:b/>
          <w:color w:val="000000"/>
          <w:kern w:val="0"/>
          <w:sz w:val="24"/>
          <w:szCs w:val="22"/>
        </w:rPr>
        <w:t>可扩展性</w:t>
      </w:r>
      <w:r>
        <w:rPr>
          <w:rFonts w:hint="eastAsia" w:cs="Tahoma" w:asciiTheme="minorEastAsia" w:hAnsiTheme="minorEastAsia" w:eastAsiaTheme="minorEastAsia"/>
          <w:b/>
          <w:color w:val="000000"/>
          <w:kern w:val="0"/>
          <w:sz w:val="24"/>
          <w:szCs w:val="22"/>
          <w:lang w:eastAsia="zh-CN"/>
        </w:rPr>
        <w:t>。</w:t>
      </w:r>
    </w:p>
    <w:p>
      <w:pPr>
        <w:pStyle w:val="21"/>
        <w:spacing w:line="360" w:lineRule="auto"/>
        <w:ind w:left="0"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本标准在满足国家管理需求的基础上，留出扩展空间，方便部门和单位扩展使用。</w:t>
      </w:r>
    </w:p>
    <w:p>
      <w:pPr>
        <w:pStyle w:val="21"/>
        <w:spacing w:line="360" w:lineRule="auto"/>
        <w:ind w:left="0" w:firstLine="480" w:firstLineChars="200"/>
        <w:rPr>
          <w:rFonts w:hint="eastAsia" w:cs="Tahoma" w:asciiTheme="minorEastAsia" w:hAnsiTheme="minorEastAsia" w:eastAsiaTheme="minorEastAsia"/>
          <w:b/>
          <w:color w:val="000000"/>
          <w:kern w:val="0"/>
          <w:sz w:val="24"/>
          <w:szCs w:val="22"/>
          <w:lang w:eastAsia="zh-CN"/>
        </w:rPr>
      </w:pPr>
      <w:r>
        <w:rPr>
          <w:rFonts w:cs="Tahoma" w:asciiTheme="minorEastAsia" w:hAnsiTheme="minorEastAsia" w:eastAsiaTheme="minorEastAsia"/>
          <w:b/>
          <w:color w:val="000000"/>
          <w:kern w:val="0"/>
          <w:sz w:val="24"/>
          <w:szCs w:val="22"/>
        </w:rPr>
        <w:t>3</w:t>
      </w:r>
      <w:r>
        <w:rPr>
          <w:rFonts w:hint="eastAsia" w:cs="Tahoma" w:asciiTheme="minorEastAsia" w:hAnsiTheme="minorEastAsia" w:eastAsiaTheme="minorEastAsia"/>
          <w:b/>
          <w:color w:val="000000"/>
          <w:kern w:val="0"/>
          <w:sz w:val="24"/>
          <w:szCs w:val="22"/>
        </w:rPr>
        <w:t>.</w:t>
      </w:r>
      <w:r>
        <w:rPr>
          <w:rFonts w:cs="Tahoma" w:asciiTheme="minorEastAsia" w:hAnsiTheme="minorEastAsia" w:eastAsiaTheme="minorEastAsia"/>
          <w:b/>
          <w:color w:val="000000"/>
          <w:kern w:val="0"/>
          <w:sz w:val="24"/>
          <w:szCs w:val="22"/>
        </w:rPr>
        <w:t xml:space="preserve"> </w:t>
      </w:r>
      <w:r>
        <w:rPr>
          <w:rFonts w:hint="eastAsia" w:cs="Tahoma" w:asciiTheme="minorEastAsia" w:hAnsiTheme="minorEastAsia" w:eastAsiaTheme="minorEastAsia"/>
          <w:b/>
          <w:color w:val="000000"/>
          <w:kern w:val="0"/>
          <w:sz w:val="24"/>
          <w:szCs w:val="22"/>
        </w:rPr>
        <w:t>通用性</w:t>
      </w:r>
      <w:r>
        <w:rPr>
          <w:rFonts w:hint="eastAsia" w:cs="Tahoma" w:asciiTheme="minorEastAsia" w:hAnsiTheme="minorEastAsia" w:eastAsiaTheme="minorEastAsia"/>
          <w:b/>
          <w:color w:val="000000"/>
          <w:kern w:val="0"/>
          <w:sz w:val="24"/>
          <w:szCs w:val="22"/>
          <w:lang w:eastAsia="zh-CN"/>
        </w:rPr>
        <w:t>。</w:t>
      </w:r>
    </w:p>
    <w:p>
      <w:pPr>
        <w:pStyle w:val="21"/>
        <w:spacing w:line="360" w:lineRule="auto"/>
        <w:ind w:left="0" w:firstLine="480" w:firstLineChars="200"/>
        <w:rPr>
          <w:color w:val="000000"/>
          <w:kern w:val="0"/>
          <w:sz w:val="24"/>
        </w:rPr>
      </w:pPr>
      <w:r>
        <w:rPr>
          <w:rFonts w:hint="eastAsia" w:asciiTheme="minorEastAsia" w:hAnsiTheme="minorEastAsia" w:eastAsiaTheme="minorEastAsia"/>
          <w:color w:val="000000"/>
          <w:kern w:val="0"/>
          <w:sz w:val="24"/>
        </w:rPr>
        <w:t>参考会计科目、政府采购品目、单位资产的配置管理等有关文件和规定，以保证资产管理的全面、一致、连贯和可查找性。其中，与政府采购品目分类目录中货物类的非英文字段的前四个层级代码与资产分类与代码尽量保持一致性和通用性。</w:t>
      </w:r>
    </w:p>
    <w:p>
      <w:pPr>
        <w:pStyle w:val="4"/>
        <w:numPr>
          <w:ilvl w:val="0"/>
          <w:numId w:val="10"/>
        </w:numPr>
        <w:tabs>
          <w:tab w:val="left" w:pos="1134"/>
        </w:tabs>
        <w:spacing w:before="0" w:after="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本标准的主要内容</w:t>
      </w:r>
      <w:r>
        <w:rPr>
          <w:rFonts w:hint="eastAsia" w:asciiTheme="minorEastAsia" w:hAnsiTheme="minorEastAsia" w:eastAsiaTheme="minorEastAsia"/>
          <w:sz w:val="24"/>
          <w:szCs w:val="24"/>
          <w:lang w:eastAsia="zh-CN"/>
        </w:rPr>
        <w:t>。</w:t>
      </w:r>
    </w:p>
    <w:p>
      <w:pPr>
        <w:pStyle w:val="21"/>
        <w:spacing w:line="360" w:lineRule="auto"/>
        <w:ind w:left="0" w:firstLine="480" w:firstLineChars="200"/>
        <w:rPr>
          <w:rFonts w:hint="eastAsia" w:cs="Tahoma" w:asciiTheme="minorEastAsia" w:hAnsiTheme="minorEastAsia" w:eastAsiaTheme="minorEastAsia"/>
          <w:b/>
          <w:color w:val="000000"/>
          <w:kern w:val="0"/>
          <w:sz w:val="24"/>
          <w:szCs w:val="22"/>
          <w:lang w:eastAsia="zh-CN"/>
        </w:rPr>
      </w:pPr>
      <w:bookmarkStart w:id="5" w:name="_Toc463861393"/>
      <w:r>
        <w:rPr>
          <w:rFonts w:hint="eastAsia" w:cs="Tahoma" w:asciiTheme="minorEastAsia" w:hAnsiTheme="minorEastAsia" w:eastAsiaTheme="minorEastAsia"/>
          <w:b/>
          <w:color w:val="000000"/>
          <w:kern w:val="0"/>
          <w:sz w:val="24"/>
          <w:szCs w:val="22"/>
        </w:rPr>
        <w:t>1</w:t>
      </w:r>
      <w:r>
        <w:rPr>
          <w:rFonts w:cs="Tahoma" w:asciiTheme="minorEastAsia" w:hAnsiTheme="minorEastAsia" w:eastAsiaTheme="minorEastAsia"/>
          <w:b/>
          <w:color w:val="000000"/>
          <w:kern w:val="0"/>
          <w:sz w:val="24"/>
          <w:szCs w:val="22"/>
        </w:rPr>
        <w:t xml:space="preserve">. </w:t>
      </w:r>
      <w:r>
        <w:rPr>
          <w:rFonts w:hint="eastAsia" w:cs="Tahoma" w:asciiTheme="minorEastAsia" w:hAnsiTheme="minorEastAsia" w:eastAsiaTheme="minorEastAsia"/>
          <w:b/>
          <w:color w:val="000000"/>
          <w:kern w:val="0"/>
          <w:sz w:val="24"/>
          <w:szCs w:val="22"/>
        </w:rPr>
        <w:t>范围</w:t>
      </w:r>
      <w:r>
        <w:rPr>
          <w:rFonts w:hint="eastAsia" w:cs="Tahoma" w:asciiTheme="minorEastAsia" w:hAnsiTheme="minorEastAsia" w:eastAsiaTheme="minorEastAsia"/>
          <w:b/>
          <w:color w:val="000000"/>
          <w:kern w:val="0"/>
          <w:sz w:val="24"/>
          <w:szCs w:val="22"/>
          <w:lang w:eastAsia="zh-CN"/>
        </w:rPr>
        <w:t>。</w:t>
      </w:r>
    </w:p>
    <w:p>
      <w:pPr>
        <w:adjustRightInd w:val="0"/>
        <w:snapToGrid w:val="0"/>
        <w:spacing w:line="360" w:lineRule="auto"/>
        <w:ind w:firstLine="480" w:firstLineChars="200"/>
        <w:rPr>
          <w:rFonts w:ascii="宋体" w:hAnsi="宋体"/>
          <w:kern w:val="0"/>
          <w:sz w:val="24"/>
          <w:szCs w:val="28"/>
        </w:rPr>
      </w:pPr>
      <w:r>
        <w:rPr>
          <w:rFonts w:hint="eastAsia" w:ascii="宋体" w:hAnsi="宋体"/>
          <w:kern w:val="0"/>
          <w:sz w:val="24"/>
          <w:szCs w:val="28"/>
        </w:rPr>
        <w:t>本文件规定了固定资产、公共基础设施、文物文化资产、政府储备物资、保障性住房、存货等资产的底层技术分类、代码及计量单位。</w:t>
      </w:r>
    </w:p>
    <w:p>
      <w:pPr>
        <w:pStyle w:val="66"/>
        <w:ind w:firstLine="480"/>
        <w:rPr>
          <w:rFonts w:hAnsi="宋体"/>
          <w:sz w:val="24"/>
          <w:szCs w:val="28"/>
        </w:rPr>
      </w:pPr>
      <w:r>
        <w:rPr>
          <w:rFonts w:hint="eastAsia" w:hAnsi="宋体"/>
          <w:sz w:val="24"/>
          <w:szCs w:val="28"/>
        </w:rPr>
        <w:t>本文件适用于资产配置、登记、清查、报告等管理工作。</w:t>
      </w:r>
    </w:p>
    <w:p>
      <w:pPr>
        <w:pStyle w:val="21"/>
        <w:spacing w:line="360" w:lineRule="auto"/>
        <w:ind w:left="0" w:firstLine="480" w:firstLineChars="200"/>
        <w:rPr>
          <w:rFonts w:hint="eastAsia" w:cs="Tahoma" w:asciiTheme="minorEastAsia" w:hAnsiTheme="minorEastAsia" w:eastAsiaTheme="minorEastAsia"/>
          <w:b/>
          <w:color w:val="000000"/>
          <w:kern w:val="0"/>
          <w:sz w:val="24"/>
          <w:szCs w:val="22"/>
          <w:lang w:eastAsia="zh-CN"/>
        </w:rPr>
      </w:pPr>
      <w:r>
        <w:rPr>
          <w:rFonts w:hint="eastAsia" w:cs="Tahoma" w:asciiTheme="minorEastAsia" w:hAnsiTheme="minorEastAsia" w:eastAsiaTheme="minorEastAsia"/>
          <w:b/>
          <w:color w:val="000000"/>
          <w:kern w:val="0"/>
          <w:sz w:val="24"/>
          <w:szCs w:val="22"/>
        </w:rPr>
        <w:t>2</w:t>
      </w:r>
      <w:r>
        <w:rPr>
          <w:rFonts w:cs="Tahoma" w:asciiTheme="minorEastAsia" w:hAnsiTheme="minorEastAsia" w:eastAsiaTheme="minorEastAsia"/>
          <w:b/>
          <w:color w:val="000000"/>
          <w:kern w:val="0"/>
          <w:sz w:val="24"/>
          <w:szCs w:val="22"/>
        </w:rPr>
        <w:t xml:space="preserve">. </w:t>
      </w:r>
      <w:r>
        <w:rPr>
          <w:rFonts w:hint="eastAsia" w:cs="Tahoma" w:asciiTheme="minorEastAsia" w:hAnsiTheme="minorEastAsia" w:eastAsiaTheme="minorEastAsia"/>
          <w:b/>
          <w:color w:val="000000"/>
          <w:kern w:val="0"/>
          <w:sz w:val="24"/>
          <w:szCs w:val="22"/>
        </w:rPr>
        <w:t>术语及定义</w:t>
      </w:r>
      <w:r>
        <w:rPr>
          <w:rFonts w:hint="eastAsia" w:cs="Tahoma" w:asciiTheme="minorEastAsia" w:hAnsiTheme="minorEastAsia" w:eastAsiaTheme="minorEastAsia"/>
          <w:b/>
          <w:color w:val="000000"/>
          <w:kern w:val="0"/>
          <w:sz w:val="24"/>
          <w:szCs w:val="22"/>
          <w:lang w:eastAsia="zh-CN"/>
        </w:rPr>
        <w:t>。</w:t>
      </w:r>
    </w:p>
    <w:p>
      <w:pPr>
        <w:pStyle w:val="66"/>
        <w:ind w:firstLine="420"/>
        <w:rPr>
          <w:rFonts w:hint="eastAsia" w:ascii="宋体" w:hAnsi="宋体" w:eastAsia="宋体" w:cs="Times New Roman"/>
          <w:kern w:val="0"/>
          <w:sz w:val="24"/>
          <w:szCs w:val="28"/>
          <w:lang w:val="en-US" w:eastAsia="zh-CN" w:bidi="ar-SA"/>
        </w:rPr>
      </w:pPr>
      <w:r>
        <w:rPr>
          <w:rFonts w:hint="eastAsia" w:ascii="宋体" w:hAnsi="宋体" w:eastAsia="宋体" w:cs="Times New Roman"/>
          <w:kern w:val="0"/>
          <w:sz w:val="24"/>
          <w:szCs w:val="28"/>
          <w:lang w:val="en-US" w:eastAsia="zh-CN" w:bidi="ar-SA"/>
        </w:rPr>
        <w:t>GB/T 33172—2016界定的术语和定义适用于本文件。</w:t>
      </w:r>
    </w:p>
    <w:p>
      <w:pPr>
        <w:pStyle w:val="21"/>
        <w:spacing w:line="360" w:lineRule="auto"/>
        <w:ind w:left="0" w:firstLine="480" w:firstLineChars="200"/>
        <w:rPr>
          <w:rFonts w:hint="eastAsia" w:cs="Tahoma" w:asciiTheme="minorEastAsia" w:hAnsiTheme="minorEastAsia" w:eastAsiaTheme="minorEastAsia"/>
          <w:b/>
          <w:color w:val="000000"/>
          <w:kern w:val="0"/>
          <w:sz w:val="24"/>
          <w:szCs w:val="22"/>
          <w:lang w:eastAsia="zh-CN"/>
        </w:rPr>
      </w:pPr>
      <w:r>
        <w:rPr>
          <w:rFonts w:hint="eastAsia" w:cs="Tahoma" w:asciiTheme="minorEastAsia" w:hAnsiTheme="minorEastAsia" w:eastAsiaTheme="minorEastAsia"/>
          <w:b/>
          <w:color w:val="000000"/>
          <w:kern w:val="0"/>
          <w:sz w:val="24"/>
          <w:szCs w:val="22"/>
        </w:rPr>
        <w:t>3</w:t>
      </w:r>
      <w:r>
        <w:rPr>
          <w:rFonts w:cs="Tahoma" w:asciiTheme="minorEastAsia" w:hAnsiTheme="minorEastAsia" w:eastAsiaTheme="minorEastAsia"/>
          <w:b/>
          <w:color w:val="000000"/>
          <w:kern w:val="0"/>
          <w:sz w:val="24"/>
          <w:szCs w:val="22"/>
        </w:rPr>
        <w:t xml:space="preserve">. </w:t>
      </w:r>
      <w:r>
        <w:rPr>
          <w:rFonts w:hint="eastAsia" w:cs="Tahoma" w:asciiTheme="minorEastAsia" w:hAnsiTheme="minorEastAsia" w:eastAsiaTheme="minorEastAsia"/>
          <w:b/>
          <w:color w:val="000000"/>
          <w:kern w:val="0"/>
          <w:sz w:val="24"/>
          <w:szCs w:val="22"/>
        </w:rPr>
        <w:t>分类原则</w:t>
      </w:r>
      <w:r>
        <w:rPr>
          <w:rFonts w:hint="eastAsia" w:cs="Tahoma" w:asciiTheme="minorEastAsia" w:hAnsiTheme="minorEastAsia" w:eastAsiaTheme="minorEastAsia"/>
          <w:b/>
          <w:color w:val="000000"/>
          <w:kern w:val="0"/>
          <w:sz w:val="24"/>
          <w:szCs w:val="22"/>
          <w:lang w:eastAsia="zh-CN"/>
        </w:rPr>
        <w:t>。</w:t>
      </w:r>
    </w:p>
    <w:p>
      <w:pPr>
        <w:pStyle w:val="21"/>
        <w:spacing w:line="360" w:lineRule="auto"/>
        <w:ind w:left="0" w:firstLine="480" w:firstLineChars="200"/>
        <w:rPr>
          <w:rFonts w:ascii="宋体" w:hAnsi="宋体"/>
          <w:sz w:val="24"/>
        </w:rPr>
      </w:pPr>
      <w:r>
        <w:rPr>
          <w:rFonts w:hint="eastAsia" w:ascii="宋体" w:hAnsi="宋体"/>
          <w:sz w:val="24"/>
        </w:rPr>
        <w:t>本标准按资产</w:t>
      </w:r>
      <w:r>
        <w:rPr>
          <w:rFonts w:hint="eastAsia" w:asciiTheme="minorEastAsia" w:hAnsiTheme="minorEastAsia" w:eastAsiaTheme="minorEastAsia"/>
          <w:color w:val="000000"/>
          <w:kern w:val="0"/>
          <w:sz w:val="24"/>
          <w:lang w:eastAsia="zh-CN"/>
        </w:rPr>
        <w:t>基本</w:t>
      </w:r>
      <w:r>
        <w:rPr>
          <w:rFonts w:hint="eastAsia" w:ascii="宋体" w:hAnsi="宋体"/>
          <w:sz w:val="24"/>
        </w:rPr>
        <w:t>属性分类，兼容按照资产用途、占有使用单位、管理性质等维度属性进行多维度分类的需要。</w:t>
      </w:r>
    </w:p>
    <w:p>
      <w:pPr>
        <w:pStyle w:val="21"/>
        <w:spacing w:line="360" w:lineRule="auto"/>
        <w:ind w:left="0" w:firstLine="480" w:firstLineChars="200"/>
        <w:rPr>
          <w:rFonts w:hint="eastAsia" w:cs="Tahoma" w:asciiTheme="minorEastAsia" w:hAnsiTheme="minorEastAsia" w:eastAsiaTheme="minorEastAsia"/>
          <w:b/>
          <w:color w:val="000000"/>
          <w:kern w:val="0"/>
          <w:sz w:val="24"/>
          <w:szCs w:val="22"/>
          <w:lang w:eastAsia="zh-CN"/>
        </w:rPr>
      </w:pPr>
      <w:r>
        <w:rPr>
          <w:rFonts w:hint="eastAsia" w:cs="Tahoma" w:asciiTheme="minorEastAsia" w:hAnsiTheme="minorEastAsia" w:eastAsiaTheme="minorEastAsia"/>
          <w:b/>
          <w:color w:val="000000"/>
          <w:kern w:val="0"/>
          <w:sz w:val="24"/>
          <w:szCs w:val="22"/>
        </w:rPr>
        <w:t>4</w:t>
      </w:r>
      <w:r>
        <w:rPr>
          <w:rFonts w:cs="Tahoma" w:asciiTheme="minorEastAsia" w:hAnsiTheme="minorEastAsia" w:eastAsiaTheme="minorEastAsia"/>
          <w:b/>
          <w:color w:val="000000"/>
          <w:kern w:val="0"/>
          <w:sz w:val="24"/>
          <w:szCs w:val="22"/>
        </w:rPr>
        <w:t xml:space="preserve">. </w:t>
      </w:r>
      <w:r>
        <w:rPr>
          <w:rFonts w:hint="eastAsia" w:cs="Tahoma" w:asciiTheme="minorEastAsia" w:hAnsiTheme="minorEastAsia" w:eastAsiaTheme="minorEastAsia"/>
          <w:b/>
          <w:color w:val="000000"/>
          <w:kern w:val="0"/>
          <w:sz w:val="24"/>
          <w:szCs w:val="22"/>
        </w:rPr>
        <w:t>编码方法</w:t>
      </w:r>
      <w:r>
        <w:rPr>
          <w:rFonts w:hint="eastAsia" w:cs="Tahoma" w:asciiTheme="minorEastAsia" w:hAnsiTheme="minorEastAsia" w:eastAsiaTheme="minorEastAsia"/>
          <w:b/>
          <w:color w:val="000000"/>
          <w:kern w:val="0"/>
          <w:sz w:val="24"/>
          <w:szCs w:val="22"/>
          <w:lang w:eastAsia="zh-CN"/>
        </w:rPr>
        <w:t>。</w:t>
      </w:r>
    </w:p>
    <w:p>
      <w:pPr>
        <w:pStyle w:val="66"/>
        <w:ind w:firstLine="480"/>
        <w:rPr>
          <w:rFonts w:hAnsi="宋体"/>
          <w:kern w:val="2"/>
          <w:sz w:val="24"/>
          <w:szCs w:val="24"/>
        </w:rPr>
      </w:pPr>
      <w:r>
        <w:rPr>
          <w:rFonts w:hint="eastAsia" w:hAnsi="宋体"/>
          <w:kern w:val="2"/>
          <w:sz w:val="24"/>
          <w:szCs w:val="24"/>
        </w:rPr>
        <w:t>本标准采用4层数字代码表示，第1层表示门类，第2层表示大类</w:t>
      </w:r>
      <w:r>
        <w:rPr>
          <w:rFonts w:hint="eastAsia" w:hAnsi="宋体"/>
          <w:kern w:val="2"/>
          <w:sz w:val="24"/>
          <w:szCs w:val="24"/>
          <w:lang w:eastAsia="zh-CN"/>
        </w:rPr>
        <w:t>，</w:t>
      </w:r>
      <w:r>
        <w:rPr>
          <w:rFonts w:hint="eastAsia" w:hAnsi="宋体"/>
          <w:kern w:val="2"/>
          <w:sz w:val="24"/>
          <w:szCs w:val="24"/>
        </w:rPr>
        <w:t>第3层表示中类</w:t>
      </w:r>
      <w:r>
        <w:rPr>
          <w:rFonts w:hint="eastAsia" w:hAnsi="宋体"/>
          <w:kern w:val="2"/>
          <w:sz w:val="24"/>
          <w:szCs w:val="24"/>
          <w:lang w:eastAsia="zh-CN"/>
        </w:rPr>
        <w:t>，</w:t>
      </w:r>
      <w:r>
        <w:rPr>
          <w:rFonts w:hint="eastAsia" w:hAnsi="宋体"/>
          <w:kern w:val="2"/>
          <w:sz w:val="24"/>
          <w:szCs w:val="24"/>
        </w:rPr>
        <w:t>第4层表示小类。其分类结构如图1所示。</w:t>
      </w:r>
    </w:p>
    <w:p>
      <w:pPr>
        <w:pStyle w:val="66"/>
        <w:ind w:firstLine="420"/>
        <w:jc w:val="center"/>
        <w:rPr>
          <w:rFonts w:hAnsi="宋体"/>
          <w:kern w:val="2"/>
          <w:sz w:val="24"/>
          <w:szCs w:val="24"/>
        </w:rPr>
      </w:pPr>
      <w:r>
        <w:object>
          <v:shape id="_x0000_i1025" o:spt="75" type="#_x0000_t75" style="height:129pt;width:28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pStyle w:val="69"/>
        <w:spacing w:before="156" w:after="156"/>
        <w:rPr>
          <w:rFonts w:ascii="宋体" w:hAnsi="宋体" w:eastAsia="宋体"/>
          <w:b/>
          <w:bCs/>
          <w:kern w:val="2"/>
          <w:sz w:val="24"/>
          <w:szCs w:val="24"/>
        </w:rPr>
      </w:pPr>
      <w:r>
        <w:rPr>
          <w:rFonts w:hint="eastAsia" w:ascii="宋体" w:hAnsi="宋体" w:eastAsia="宋体"/>
          <w:b/>
          <w:bCs/>
          <w:kern w:val="2"/>
          <w:sz w:val="24"/>
          <w:szCs w:val="24"/>
        </w:rPr>
        <w:t>资产分类代码的构成</w:t>
      </w:r>
    </w:p>
    <w:p>
      <w:pPr>
        <w:spacing w:before="156" w:after="156"/>
        <w:ind w:firstLine="480"/>
        <w:rPr>
          <w:rFonts w:hAnsi="宋体"/>
          <w:sz w:val="24"/>
        </w:rPr>
      </w:pPr>
      <w:r>
        <w:rPr>
          <w:rFonts w:hint="eastAsia" w:hAnsi="宋体"/>
          <w:sz w:val="24"/>
        </w:rPr>
        <w:t>资产分类代码的第1层所表示的</w:t>
      </w:r>
      <w:r>
        <w:rPr>
          <w:rFonts w:hint="eastAsia" w:hAnsi="宋体"/>
          <w:sz w:val="24"/>
          <w:lang w:val="en-US" w:eastAsia="zh-CN"/>
        </w:rPr>
        <w:t>7</w:t>
      </w:r>
      <w:r>
        <w:rPr>
          <w:rFonts w:hint="eastAsia" w:hAnsi="宋体"/>
          <w:sz w:val="24"/>
        </w:rPr>
        <w:t>个门类如下：</w:t>
      </w:r>
    </w:p>
    <w:p>
      <w:pPr>
        <w:pStyle w:val="72"/>
        <w:numPr>
          <w:ilvl w:val="0"/>
          <w:numId w:val="4"/>
        </w:numPr>
        <w:tabs>
          <w:tab w:val="clear" w:pos="840"/>
        </w:tabs>
        <w:ind w:left="851" w:hanging="426"/>
        <w:rPr>
          <w:lang w:val="en-GB"/>
        </w:rPr>
      </w:pPr>
      <w:r>
        <w:rPr>
          <w:rFonts w:hint="eastAsia"/>
          <w:lang w:val="en-GB"/>
        </w:rPr>
        <w:t>房屋建筑物</w:t>
      </w:r>
    </w:p>
    <w:p>
      <w:pPr>
        <w:pStyle w:val="72"/>
        <w:numPr>
          <w:ilvl w:val="0"/>
          <w:numId w:val="4"/>
        </w:numPr>
        <w:tabs>
          <w:tab w:val="clear" w:pos="840"/>
        </w:tabs>
        <w:ind w:left="851" w:hanging="426"/>
      </w:pPr>
      <w:r>
        <w:rPr>
          <w:rFonts w:hint="eastAsia"/>
        </w:rPr>
        <w:t>设备</w:t>
      </w:r>
    </w:p>
    <w:p>
      <w:pPr>
        <w:pStyle w:val="72"/>
        <w:numPr>
          <w:ilvl w:val="0"/>
          <w:numId w:val="4"/>
        </w:numPr>
        <w:tabs>
          <w:tab w:val="clear" w:pos="840"/>
        </w:tabs>
        <w:ind w:left="851" w:hanging="426"/>
      </w:pPr>
      <w:r>
        <w:rPr>
          <w:rFonts w:hint="eastAsia"/>
        </w:rPr>
        <w:t>文物文化类资产</w:t>
      </w:r>
    </w:p>
    <w:p>
      <w:pPr>
        <w:pStyle w:val="72"/>
        <w:numPr>
          <w:ilvl w:val="0"/>
          <w:numId w:val="4"/>
        </w:numPr>
        <w:tabs>
          <w:tab w:val="clear" w:pos="840"/>
        </w:tabs>
        <w:ind w:left="851" w:hanging="426"/>
      </w:pPr>
      <w:r>
        <w:rPr>
          <w:rFonts w:hint="eastAsia"/>
        </w:rPr>
        <w:t>图书档案</w:t>
      </w:r>
    </w:p>
    <w:p>
      <w:pPr>
        <w:pStyle w:val="72"/>
        <w:numPr>
          <w:ilvl w:val="0"/>
          <w:numId w:val="4"/>
        </w:numPr>
        <w:tabs>
          <w:tab w:val="clear" w:pos="840"/>
        </w:tabs>
        <w:ind w:left="851" w:hanging="426"/>
      </w:pPr>
      <w:r>
        <w:rPr>
          <w:rFonts w:hint="eastAsia"/>
        </w:rPr>
        <w:t>家具用具</w:t>
      </w:r>
    </w:p>
    <w:p>
      <w:pPr>
        <w:pStyle w:val="72"/>
        <w:numPr>
          <w:ilvl w:val="0"/>
          <w:numId w:val="4"/>
        </w:numPr>
        <w:tabs>
          <w:tab w:val="clear" w:pos="840"/>
        </w:tabs>
        <w:ind w:left="851" w:hanging="426"/>
      </w:pPr>
      <w:r>
        <w:rPr>
          <w:rFonts w:hint="eastAsia"/>
        </w:rPr>
        <w:t>特种动植物</w:t>
      </w:r>
    </w:p>
    <w:p>
      <w:pPr>
        <w:pStyle w:val="72"/>
        <w:numPr>
          <w:ilvl w:val="0"/>
          <w:numId w:val="4"/>
        </w:numPr>
        <w:tabs>
          <w:tab w:val="clear" w:pos="840"/>
        </w:tabs>
        <w:ind w:left="851" w:hanging="426"/>
        <w:rPr>
          <w:lang w:val="en-GB"/>
        </w:rPr>
      </w:pPr>
      <w:r>
        <w:rPr>
          <w:rFonts w:hint="eastAsia"/>
        </w:rPr>
        <w:t>物资</w:t>
      </w:r>
    </w:p>
    <w:p>
      <w:pPr>
        <w:pStyle w:val="73"/>
      </w:pPr>
      <w:r>
        <w:rPr>
          <w:rFonts w:hint="eastAsia"/>
        </w:rPr>
        <w:t>资产分类代码的前置字母使用Asset（资产）首字母A标识。</w:t>
      </w:r>
    </w:p>
    <w:p>
      <w:pPr>
        <w:pStyle w:val="73"/>
      </w:pPr>
      <w:r>
        <w:rPr>
          <w:rFonts w:hint="eastAsia"/>
        </w:rPr>
        <w:t>资产</w:t>
      </w:r>
      <w:r>
        <w:rPr>
          <w:rFonts w:hint="eastAsia"/>
          <w:lang w:val="en-GB"/>
        </w:rPr>
        <w:t>分类代码的大类、中类和小类中的代码“99”为</w:t>
      </w:r>
      <w:r>
        <w:rPr>
          <w:rFonts w:hint="eastAsia"/>
        </w:rPr>
        <w:t>收容项，主要用于该项尚未列出的资产类型。</w:t>
      </w:r>
    </w:p>
    <w:p>
      <w:pPr>
        <w:pStyle w:val="73"/>
      </w:pPr>
      <w:r>
        <w:rPr>
          <w:rFonts w:hint="eastAsia"/>
        </w:rPr>
        <w:t>对资产分类代码进行拓展及映射的指南见附录A。</w:t>
      </w:r>
    </w:p>
    <w:p>
      <w:pPr>
        <w:pStyle w:val="73"/>
      </w:pPr>
      <w:r>
        <w:rPr>
          <w:rFonts w:hint="eastAsia"/>
        </w:rPr>
        <w:t>为便于使用，参见GB/T 35416—2017界定的无形资产类目，依据本文件编码规则对无形资产类目进行了赋码，见附录B。</w:t>
      </w:r>
    </w:p>
    <w:p>
      <w:pPr>
        <w:pStyle w:val="73"/>
        <w:rPr>
          <w:sz w:val="21"/>
          <w:szCs w:val="21"/>
        </w:rPr>
      </w:pPr>
      <w:r>
        <w:rPr>
          <w:rFonts w:hint="eastAsia"/>
        </w:rPr>
        <w:t>固定资产等资产分类与会计科目的对照关系见附录C。</w:t>
      </w:r>
    </w:p>
    <w:p>
      <w:pPr>
        <w:pStyle w:val="4"/>
        <w:numPr>
          <w:ilvl w:val="0"/>
          <w:numId w:val="10"/>
        </w:numPr>
        <w:tabs>
          <w:tab w:val="left" w:pos="1134"/>
        </w:tabs>
        <w:spacing w:before="0" w:after="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本次修订主要变化</w:t>
      </w:r>
      <w:r>
        <w:rPr>
          <w:rFonts w:hint="eastAsia" w:asciiTheme="minorEastAsia" w:hAnsiTheme="minorEastAsia" w:eastAsiaTheme="minorEastAsia"/>
          <w:sz w:val="24"/>
          <w:szCs w:val="24"/>
          <w:lang w:eastAsia="zh-CN"/>
        </w:rPr>
        <w:t>。</w:t>
      </w:r>
    </w:p>
    <w:p>
      <w:pPr>
        <w:pStyle w:val="66"/>
        <w:ind w:firstLine="480"/>
        <w:rPr>
          <w:rFonts w:hAnsi="宋体"/>
          <w:kern w:val="2"/>
          <w:sz w:val="24"/>
          <w:szCs w:val="24"/>
        </w:rPr>
      </w:pPr>
      <w:r>
        <w:rPr>
          <w:rFonts w:hint="eastAsia" w:hAnsi="宋体"/>
          <w:kern w:val="2"/>
          <w:sz w:val="24"/>
          <w:szCs w:val="24"/>
        </w:rPr>
        <w:t>与GB/T 14885—</w:t>
      </w:r>
      <w:r>
        <w:rPr>
          <w:rFonts w:hAnsi="宋体"/>
          <w:kern w:val="2"/>
          <w:sz w:val="24"/>
          <w:szCs w:val="24"/>
        </w:rPr>
        <w:t>2010</w:t>
      </w:r>
      <w:r>
        <w:rPr>
          <w:rFonts w:hint="eastAsia" w:hAnsi="宋体"/>
          <w:kern w:val="2"/>
          <w:sz w:val="24"/>
          <w:szCs w:val="24"/>
        </w:rPr>
        <w:t>相比，本次修订除结构调整和编辑性改动外，主要技术变化如下：</w:t>
      </w:r>
    </w:p>
    <w:p>
      <w:pPr>
        <w:pStyle w:val="21"/>
        <w:spacing w:line="360" w:lineRule="auto"/>
        <w:ind w:left="0" w:firstLine="480" w:firstLineChars="200"/>
        <w:rPr>
          <w:rFonts w:hint="eastAsia" w:cs="Tahoma" w:asciiTheme="minorEastAsia" w:hAnsiTheme="minorEastAsia" w:eastAsiaTheme="minorEastAsia"/>
          <w:b/>
          <w:color w:val="000000"/>
          <w:kern w:val="0"/>
          <w:sz w:val="24"/>
          <w:szCs w:val="22"/>
          <w:lang w:eastAsia="zh-CN"/>
        </w:rPr>
      </w:pPr>
      <w:r>
        <w:rPr>
          <w:rFonts w:hint="eastAsia" w:cs="Tahoma" w:asciiTheme="minorEastAsia" w:hAnsiTheme="minorEastAsia" w:eastAsiaTheme="minorEastAsia"/>
          <w:b/>
          <w:color w:val="000000"/>
          <w:kern w:val="0"/>
          <w:sz w:val="24"/>
          <w:szCs w:val="22"/>
        </w:rPr>
        <w:t>1</w:t>
      </w:r>
      <w:r>
        <w:rPr>
          <w:rFonts w:cs="Tahoma" w:asciiTheme="minorEastAsia" w:hAnsiTheme="minorEastAsia" w:eastAsiaTheme="minorEastAsia"/>
          <w:b/>
          <w:color w:val="000000"/>
          <w:kern w:val="0"/>
          <w:sz w:val="24"/>
          <w:szCs w:val="22"/>
        </w:rPr>
        <w:t xml:space="preserve">. </w:t>
      </w:r>
      <w:r>
        <w:rPr>
          <w:rFonts w:hint="eastAsia" w:cs="Tahoma" w:asciiTheme="minorEastAsia" w:hAnsiTheme="minorEastAsia" w:eastAsiaTheme="minorEastAsia"/>
          <w:b/>
          <w:color w:val="000000"/>
          <w:kern w:val="0"/>
          <w:sz w:val="24"/>
          <w:szCs w:val="22"/>
        </w:rPr>
        <w:t>门类设置的变化</w:t>
      </w:r>
      <w:r>
        <w:rPr>
          <w:rFonts w:hint="eastAsia" w:cs="Tahoma" w:asciiTheme="minorEastAsia" w:hAnsiTheme="minorEastAsia" w:eastAsiaTheme="minorEastAsia"/>
          <w:b/>
          <w:color w:val="000000"/>
          <w:kern w:val="0"/>
          <w:sz w:val="24"/>
          <w:szCs w:val="22"/>
          <w:lang w:eastAsia="zh-CN"/>
        </w:rPr>
        <w:t>。</w:t>
      </w:r>
    </w:p>
    <w:p>
      <w:pPr>
        <w:spacing w:after="156" w:afterLines="50"/>
        <w:ind w:firstLine="480" w:firstLineChars="200"/>
        <w:rPr>
          <w:rFonts w:ascii="宋体" w:hAnsi="宋体"/>
          <w:sz w:val="24"/>
        </w:rPr>
      </w:pPr>
      <w:r>
        <w:rPr>
          <w:rFonts w:ascii="宋体" w:hAnsi="宋体"/>
          <w:sz w:val="24"/>
        </w:rPr>
        <w:t>2010</w:t>
      </w:r>
      <w:r>
        <w:rPr>
          <w:rFonts w:hint="eastAsia" w:ascii="宋体" w:hAnsi="宋体"/>
          <w:sz w:val="24"/>
        </w:rPr>
        <w:t>版标准设置了六个门类，为：</w:t>
      </w:r>
    </w:p>
    <w:p>
      <w:pPr>
        <w:numPr>
          <w:ilvl w:val="0"/>
          <w:numId w:val="11"/>
        </w:numPr>
        <w:spacing w:after="156" w:afterLines="50"/>
        <w:rPr>
          <w:rFonts w:ascii="宋体" w:hAnsi="宋体"/>
          <w:sz w:val="24"/>
        </w:rPr>
      </w:pPr>
      <w:r>
        <w:rPr>
          <w:rFonts w:hint="eastAsia" w:ascii="宋体" w:hAnsi="宋体"/>
          <w:sz w:val="24"/>
        </w:rPr>
        <w:t>门类一：土地、房屋及构筑物</w:t>
      </w:r>
    </w:p>
    <w:p>
      <w:pPr>
        <w:numPr>
          <w:ilvl w:val="0"/>
          <w:numId w:val="11"/>
        </w:numPr>
        <w:spacing w:after="156" w:afterLines="50"/>
        <w:rPr>
          <w:rFonts w:ascii="宋体" w:hAnsi="宋体"/>
          <w:sz w:val="24"/>
        </w:rPr>
      </w:pPr>
      <w:r>
        <w:rPr>
          <w:rFonts w:hint="eastAsia" w:ascii="宋体" w:hAnsi="宋体"/>
          <w:sz w:val="24"/>
        </w:rPr>
        <w:t>门类二：通用设备</w:t>
      </w:r>
    </w:p>
    <w:p>
      <w:pPr>
        <w:numPr>
          <w:ilvl w:val="0"/>
          <w:numId w:val="11"/>
        </w:numPr>
        <w:spacing w:after="156" w:afterLines="50"/>
        <w:rPr>
          <w:rFonts w:ascii="宋体" w:hAnsi="宋体"/>
          <w:sz w:val="24"/>
        </w:rPr>
      </w:pPr>
      <w:r>
        <w:rPr>
          <w:rFonts w:hint="eastAsia" w:ascii="宋体" w:hAnsi="宋体"/>
          <w:sz w:val="24"/>
        </w:rPr>
        <w:t>门类三：专用设备</w:t>
      </w:r>
    </w:p>
    <w:p>
      <w:pPr>
        <w:numPr>
          <w:ilvl w:val="0"/>
          <w:numId w:val="11"/>
        </w:numPr>
        <w:spacing w:after="156" w:afterLines="50"/>
        <w:rPr>
          <w:rFonts w:ascii="宋体" w:hAnsi="宋体"/>
          <w:sz w:val="24"/>
        </w:rPr>
      </w:pPr>
      <w:r>
        <w:rPr>
          <w:rFonts w:hint="eastAsia" w:ascii="宋体" w:hAnsi="宋体"/>
          <w:sz w:val="24"/>
        </w:rPr>
        <w:t>门类四：文物和陈列品</w:t>
      </w:r>
    </w:p>
    <w:p>
      <w:pPr>
        <w:numPr>
          <w:ilvl w:val="0"/>
          <w:numId w:val="11"/>
        </w:numPr>
        <w:spacing w:after="156" w:afterLines="50"/>
        <w:rPr>
          <w:rFonts w:ascii="宋体" w:hAnsi="宋体"/>
          <w:sz w:val="24"/>
        </w:rPr>
      </w:pPr>
      <w:r>
        <w:rPr>
          <w:rFonts w:hint="eastAsia" w:ascii="宋体" w:hAnsi="宋体"/>
          <w:sz w:val="24"/>
        </w:rPr>
        <w:t>门类五：图书、档案</w:t>
      </w:r>
    </w:p>
    <w:p>
      <w:pPr>
        <w:numPr>
          <w:ilvl w:val="0"/>
          <w:numId w:val="11"/>
        </w:numPr>
        <w:spacing w:after="156" w:afterLines="50"/>
        <w:rPr>
          <w:rFonts w:ascii="宋体" w:hAnsi="宋体"/>
          <w:sz w:val="24"/>
        </w:rPr>
      </w:pPr>
      <w:r>
        <w:rPr>
          <w:rFonts w:hint="eastAsia" w:ascii="宋体" w:hAnsi="宋体"/>
          <w:sz w:val="24"/>
        </w:rPr>
        <w:t>门类六：家具、用具、装具及动植物</w:t>
      </w:r>
    </w:p>
    <w:p>
      <w:pPr>
        <w:tabs>
          <w:tab w:val="left" w:pos="720"/>
        </w:tabs>
        <w:spacing w:after="156" w:afterLines="50"/>
        <w:ind w:firstLine="480" w:firstLineChars="200"/>
        <w:rPr>
          <w:rFonts w:ascii="宋体" w:hAnsi="宋体"/>
          <w:sz w:val="24"/>
        </w:rPr>
      </w:pPr>
      <w:r>
        <w:rPr>
          <w:rFonts w:hint="eastAsia" w:ascii="宋体" w:hAnsi="宋体"/>
          <w:sz w:val="24"/>
        </w:rPr>
        <w:t>通过调研发现，在实际使用中，基层单位很难对通用设备和专用设备做出明确的区分，所以本次修订将通用设备和专用设备类目进行了合并，在起草过程中，对照《政府采购品目分类目录》保持一致性，并将门类调整为以下七类：</w:t>
      </w:r>
    </w:p>
    <w:p>
      <w:pPr>
        <w:numPr>
          <w:ilvl w:val="0"/>
          <w:numId w:val="11"/>
        </w:numPr>
        <w:spacing w:after="156" w:afterLines="50"/>
        <w:rPr>
          <w:rFonts w:ascii="宋体" w:hAnsi="宋体"/>
          <w:sz w:val="24"/>
        </w:rPr>
      </w:pPr>
      <w:r>
        <w:rPr>
          <w:rFonts w:hint="eastAsia" w:ascii="宋体" w:hAnsi="宋体"/>
          <w:sz w:val="24"/>
        </w:rPr>
        <w:t>门类一：房屋建筑物</w:t>
      </w:r>
    </w:p>
    <w:p>
      <w:pPr>
        <w:numPr>
          <w:ilvl w:val="0"/>
          <w:numId w:val="11"/>
        </w:numPr>
        <w:spacing w:after="156" w:afterLines="50"/>
        <w:rPr>
          <w:rFonts w:ascii="宋体" w:hAnsi="宋体"/>
          <w:sz w:val="24"/>
        </w:rPr>
      </w:pPr>
      <w:r>
        <w:rPr>
          <w:rFonts w:hint="eastAsia" w:ascii="宋体" w:hAnsi="宋体"/>
          <w:sz w:val="24"/>
        </w:rPr>
        <w:t>门类二：设备</w:t>
      </w:r>
    </w:p>
    <w:p>
      <w:pPr>
        <w:numPr>
          <w:ilvl w:val="0"/>
          <w:numId w:val="11"/>
        </w:numPr>
        <w:spacing w:after="156" w:afterLines="50"/>
        <w:rPr>
          <w:rFonts w:ascii="宋体" w:hAnsi="宋体"/>
          <w:sz w:val="24"/>
        </w:rPr>
      </w:pPr>
      <w:r>
        <w:rPr>
          <w:rFonts w:hint="eastAsia" w:ascii="宋体" w:hAnsi="宋体"/>
          <w:sz w:val="24"/>
        </w:rPr>
        <w:t>门类三：文物文化类资产</w:t>
      </w:r>
    </w:p>
    <w:p>
      <w:pPr>
        <w:numPr>
          <w:ilvl w:val="0"/>
          <w:numId w:val="11"/>
        </w:numPr>
        <w:spacing w:after="156" w:afterLines="50"/>
        <w:rPr>
          <w:rFonts w:ascii="宋体" w:hAnsi="宋体"/>
          <w:sz w:val="24"/>
        </w:rPr>
      </w:pPr>
      <w:r>
        <w:rPr>
          <w:rFonts w:hint="eastAsia" w:ascii="宋体" w:hAnsi="宋体"/>
          <w:sz w:val="24"/>
        </w:rPr>
        <w:t>门类四：图书档案</w:t>
      </w:r>
    </w:p>
    <w:p>
      <w:pPr>
        <w:numPr>
          <w:ilvl w:val="0"/>
          <w:numId w:val="11"/>
        </w:numPr>
        <w:spacing w:after="156" w:afterLines="50"/>
        <w:rPr>
          <w:rFonts w:ascii="宋体" w:hAnsi="宋体"/>
          <w:sz w:val="24"/>
        </w:rPr>
      </w:pPr>
      <w:r>
        <w:rPr>
          <w:rFonts w:hint="eastAsia" w:ascii="宋体" w:hAnsi="宋体"/>
          <w:sz w:val="24"/>
        </w:rPr>
        <w:t>门类五：家具用具</w:t>
      </w:r>
    </w:p>
    <w:p>
      <w:pPr>
        <w:numPr>
          <w:ilvl w:val="0"/>
          <w:numId w:val="11"/>
        </w:numPr>
        <w:spacing w:after="156" w:afterLines="50"/>
        <w:rPr>
          <w:rFonts w:ascii="宋体" w:hAnsi="宋体"/>
          <w:sz w:val="24"/>
        </w:rPr>
      </w:pPr>
      <w:r>
        <w:rPr>
          <w:rFonts w:hint="eastAsia" w:ascii="宋体" w:hAnsi="宋体"/>
          <w:sz w:val="24"/>
        </w:rPr>
        <w:t>门类六：特种动植物</w:t>
      </w:r>
    </w:p>
    <w:p>
      <w:pPr>
        <w:numPr>
          <w:ilvl w:val="0"/>
          <w:numId w:val="11"/>
        </w:numPr>
        <w:spacing w:after="156" w:afterLines="50"/>
        <w:rPr>
          <w:rFonts w:ascii="宋体" w:hAnsi="宋体"/>
          <w:sz w:val="24"/>
        </w:rPr>
      </w:pPr>
      <w:r>
        <w:rPr>
          <w:rFonts w:hint="eastAsia" w:ascii="宋体" w:hAnsi="宋体"/>
          <w:sz w:val="24"/>
        </w:rPr>
        <w:t>门类七：物资</w:t>
      </w:r>
    </w:p>
    <w:p>
      <w:pPr>
        <w:pStyle w:val="21"/>
        <w:spacing w:line="360" w:lineRule="auto"/>
        <w:ind w:left="0" w:firstLine="480" w:firstLineChars="200"/>
        <w:rPr>
          <w:rFonts w:hint="eastAsia" w:cs="Tahoma" w:asciiTheme="minorEastAsia" w:hAnsiTheme="minorEastAsia" w:eastAsiaTheme="minorEastAsia"/>
          <w:b/>
          <w:color w:val="000000"/>
          <w:kern w:val="0"/>
          <w:sz w:val="24"/>
          <w:szCs w:val="22"/>
          <w:lang w:eastAsia="zh-CN"/>
        </w:rPr>
      </w:pPr>
      <w:r>
        <w:rPr>
          <w:rFonts w:hint="eastAsia" w:cs="Tahoma" w:asciiTheme="minorEastAsia" w:hAnsiTheme="minorEastAsia" w:eastAsiaTheme="minorEastAsia"/>
          <w:b/>
          <w:color w:val="000000"/>
          <w:kern w:val="0"/>
          <w:sz w:val="24"/>
          <w:szCs w:val="22"/>
        </w:rPr>
        <w:t>2</w:t>
      </w:r>
      <w:r>
        <w:rPr>
          <w:rFonts w:cs="Tahoma" w:asciiTheme="minorEastAsia" w:hAnsiTheme="minorEastAsia" w:eastAsiaTheme="minorEastAsia"/>
          <w:b/>
          <w:color w:val="000000"/>
          <w:kern w:val="0"/>
          <w:sz w:val="24"/>
          <w:szCs w:val="22"/>
        </w:rPr>
        <w:t xml:space="preserve">. </w:t>
      </w:r>
      <w:r>
        <w:rPr>
          <w:rFonts w:hint="eastAsia" w:cs="Tahoma" w:asciiTheme="minorEastAsia" w:hAnsiTheme="minorEastAsia" w:eastAsiaTheme="minorEastAsia"/>
          <w:b/>
          <w:color w:val="000000"/>
          <w:kern w:val="0"/>
          <w:sz w:val="24"/>
          <w:szCs w:val="22"/>
        </w:rPr>
        <w:t>具体内容的修改</w:t>
      </w:r>
      <w:r>
        <w:rPr>
          <w:rFonts w:hint="eastAsia" w:cs="Tahoma" w:asciiTheme="minorEastAsia" w:hAnsiTheme="minorEastAsia" w:eastAsiaTheme="minorEastAsia"/>
          <w:b/>
          <w:color w:val="000000"/>
          <w:kern w:val="0"/>
          <w:sz w:val="24"/>
          <w:szCs w:val="22"/>
          <w:lang w:eastAsia="zh-CN"/>
        </w:rPr>
        <w:t>。</w:t>
      </w:r>
    </w:p>
    <w:p>
      <w:pPr>
        <w:spacing w:before="156" w:beforeLines="50"/>
        <w:ind w:firstLine="480" w:firstLineChars="200"/>
        <w:rPr>
          <w:rFonts w:hAnsi="宋体"/>
          <w:sz w:val="24"/>
        </w:rPr>
      </w:pPr>
      <w:r>
        <w:rPr>
          <w:rFonts w:hint="eastAsia" w:ascii="宋体" w:hAnsi="宋体"/>
          <w:sz w:val="24"/>
        </w:rPr>
        <w:t>根据实际情况和管理需求，将标准名称由《固定资产分类与代码》修改为《</w:t>
      </w:r>
      <w:r>
        <w:rPr>
          <w:rFonts w:hint="eastAsia" w:ascii="宋体" w:hAnsi="宋体"/>
          <w:sz w:val="24"/>
          <w:lang w:eastAsia="zh-CN"/>
        </w:rPr>
        <w:t>固定资产等资产基础分类</w:t>
      </w:r>
      <w:r>
        <w:rPr>
          <w:rFonts w:hint="eastAsia" w:ascii="宋体" w:hAnsi="宋体"/>
          <w:sz w:val="24"/>
        </w:rPr>
        <w:t>与代码》，并对资产类目进行增删改，具体内容详见标准。</w:t>
      </w:r>
    </w:p>
    <w:bookmarkEnd w:id="5"/>
    <w:p>
      <w:pPr>
        <w:pStyle w:val="2"/>
        <w:numPr>
          <w:ilvl w:val="0"/>
          <w:numId w:val="8"/>
        </w:numPr>
        <w:tabs>
          <w:tab w:val="left" w:pos="567"/>
        </w:tabs>
        <w:spacing w:before="0" w:after="0" w:line="360" w:lineRule="auto"/>
        <w:ind w:left="0" w:firstLine="560" w:firstLineChars="200"/>
      </w:pPr>
      <w:r>
        <w:rPr>
          <w:rFonts w:hint="eastAsia"/>
        </w:rPr>
        <w:t>标准</w:t>
      </w:r>
      <w:r>
        <w:t>重大分歧意见的处理经过和依据</w:t>
      </w:r>
    </w:p>
    <w:p>
      <w:pPr>
        <w:pStyle w:val="52"/>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本标准的制定过程中未出现重大的分歧意见。</w:t>
      </w:r>
    </w:p>
    <w:p>
      <w:pPr>
        <w:pStyle w:val="2"/>
        <w:numPr>
          <w:ilvl w:val="0"/>
          <w:numId w:val="8"/>
        </w:numPr>
        <w:tabs>
          <w:tab w:val="left" w:pos="567"/>
        </w:tabs>
        <w:spacing w:before="0" w:after="0" w:line="360" w:lineRule="auto"/>
        <w:ind w:left="0" w:firstLine="560" w:firstLineChars="200"/>
      </w:pPr>
      <w:r>
        <w:rPr>
          <w:rFonts w:hint="eastAsia"/>
        </w:rPr>
        <w:t>是否与法律法规强标相协调</w:t>
      </w:r>
    </w:p>
    <w:p>
      <w:pPr>
        <w:pStyle w:val="52"/>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本标准在起草过程中，比对了《政府会计制度》</w:t>
      </w:r>
      <w:r>
        <w:rPr>
          <w:rFonts w:hint="eastAsia" w:asciiTheme="minorEastAsia" w:hAnsiTheme="minorEastAsia" w:eastAsiaTheme="minorEastAsia"/>
          <w:color w:val="000000"/>
          <w:szCs w:val="24"/>
          <w:lang w:eastAsia="zh-CN"/>
        </w:rPr>
        <w:t>、</w:t>
      </w:r>
      <w:r>
        <w:rPr>
          <w:rFonts w:hint="eastAsia" w:asciiTheme="minorEastAsia" w:hAnsiTheme="minorEastAsia" w:eastAsiaTheme="minorEastAsia"/>
          <w:color w:val="000000"/>
          <w:szCs w:val="24"/>
        </w:rPr>
        <w:t>《政府采购品目分类目录》等国家法律法规和相关政策，并与现行法律或部门规章相协调。</w:t>
      </w:r>
    </w:p>
    <w:p>
      <w:pPr>
        <w:pStyle w:val="2"/>
        <w:numPr>
          <w:ilvl w:val="0"/>
          <w:numId w:val="8"/>
        </w:numPr>
        <w:tabs>
          <w:tab w:val="left" w:pos="567"/>
        </w:tabs>
        <w:spacing w:before="0" w:after="0" w:line="360" w:lineRule="auto"/>
        <w:ind w:left="0" w:firstLine="560" w:firstLineChars="200"/>
      </w:pPr>
      <w:r>
        <w:rPr>
          <w:rFonts w:hint="eastAsia"/>
        </w:rPr>
        <w:t>作为强制性标准或推荐性标准的建议</w:t>
      </w:r>
    </w:p>
    <w:p>
      <w:pPr>
        <w:pStyle w:val="52"/>
        <w:ind w:firstLine="480"/>
        <w:rPr>
          <w:rFonts w:asciiTheme="majorEastAsia" w:hAnsiTheme="majorEastAsia" w:eastAsiaTheme="majorEastAsia"/>
          <w:color w:val="000000"/>
          <w:szCs w:val="24"/>
        </w:rPr>
      </w:pPr>
      <w:r>
        <w:rPr>
          <w:rFonts w:hint="eastAsia" w:asciiTheme="majorEastAsia" w:hAnsiTheme="majorEastAsia" w:eastAsiaTheme="majorEastAsia"/>
          <w:color w:val="000000"/>
          <w:szCs w:val="24"/>
        </w:rPr>
        <w:t>建议在本标准通过审定后，尽快作为推荐性国家标准发布、实施。</w:t>
      </w:r>
    </w:p>
    <w:p>
      <w:pPr>
        <w:pStyle w:val="2"/>
        <w:numPr>
          <w:ilvl w:val="0"/>
          <w:numId w:val="8"/>
        </w:numPr>
        <w:tabs>
          <w:tab w:val="left" w:pos="567"/>
        </w:tabs>
        <w:spacing w:before="0" w:after="0" w:line="360" w:lineRule="auto"/>
        <w:ind w:left="0" w:firstLine="560" w:firstLineChars="200"/>
      </w:pPr>
      <w:r>
        <w:t>贯彻标准的要求措施建议（包括组织措施、技术措施、过渡办法等内容）</w:t>
      </w:r>
    </w:p>
    <w:p>
      <w:pPr>
        <w:pStyle w:val="52"/>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（一）</w:t>
      </w:r>
      <w:r>
        <w:rPr>
          <w:rFonts w:asciiTheme="minorEastAsia" w:hAnsiTheme="minorEastAsia" w:eastAsiaTheme="minorEastAsia"/>
          <w:color w:val="000000"/>
          <w:szCs w:val="24"/>
        </w:rPr>
        <w:t>组织措施</w:t>
      </w:r>
      <w:r>
        <w:rPr>
          <w:rFonts w:hint="eastAsia" w:asciiTheme="minorEastAsia" w:hAnsiTheme="minorEastAsia" w:eastAsiaTheme="minorEastAsia"/>
          <w:color w:val="000000"/>
          <w:szCs w:val="24"/>
        </w:rPr>
        <w:t>：</w:t>
      </w:r>
      <w:r>
        <w:rPr>
          <w:rFonts w:hint="eastAsia" w:asciiTheme="minorEastAsia" w:hAnsiTheme="minorEastAsia" w:eastAsiaTheme="minorEastAsia"/>
          <w:szCs w:val="24"/>
        </w:rPr>
        <w:t>在财政部资产管理司及相关单位的组织协</w:t>
      </w:r>
      <w:r>
        <w:rPr>
          <w:rFonts w:hint="eastAsia" w:asciiTheme="minorEastAsia" w:hAnsiTheme="minorEastAsia" w:eastAsiaTheme="minorEastAsia"/>
          <w:color w:val="000000"/>
          <w:szCs w:val="24"/>
        </w:rPr>
        <w:t>调下，以标准起草组成员为主，成立标准宣</w:t>
      </w:r>
      <w:r>
        <w:rPr>
          <w:rFonts w:asciiTheme="minorEastAsia" w:hAnsiTheme="minorEastAsia" w:eastAsiaTheme="minorEastAsia"/>
          <w:color w:val="000000"/>
          <w:szCs w:val="24"/>
        </w:rPr>
        <w:t>贯</w:t>
      </w:r>
      <w:r>
        <w:rPr>
          <w:rFonts w:hint="eastAsia" w:asciiTheme="minorEastAsia" w:hAnsiTheme="minorEastAsia" w:eastAsiaTheme="minorEastAsia"/>
          <w:color w:val="000000"/>
          <w:szCs w:val="24"/>
        </w:rPr>
        <w:t>小组。</w:t>
      </w:r>
    </w:p>
    <w:p>
      <w:pPr>
        <w:pStyle w:val="52"/>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（二）技术措施：组织撰写标准宣贯材料，组织开展标准宣贯培训工作。</w:t>
      </w:r>
    </w:p>
    <w:p>
      <w:pPr>
        <w:pStyle w:val="2"/>
        <w:numPr>
          <w:ilvl w:val="0"/>
          <w:numId w:val="8"/>
        </w:numPr>
        <w:tabs>
          <w:tab w:val="left" w:pos="567"/>
        </w:tabs>
        <w:spacing w:before="0" w:after="0" w:line="360" w:lineRule="auto"/>
        <w:ind w:left="0" w:firstLine="560" w:firstLineChars="200"/>
      </w:pPr>
      <w:r>
        <w:t>废止现行有关标准的建议</w:t>
      </w:r>
    </w:p>
    <w:p>
      <w:pPr>
        <w:pStyle w:val="52"/>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不存在可废除的对应标准。</w:t>
      </w:r>
    </w:p>
    <w:p>
      <w:pPr>
        <w:pStyle w:val="2"/>
        <w:numPr>
          <w:ilvl w:val="0"/>
          <w:numId w:val="8"/>
        </w:numPr>
        <w:tabs>
          <w:tab w:val="left" w:pos="567"/>
        </w:tabs>
        <w:spacing w:before="0" w:after="0" w:line="360" w:lineRule="auto"/>
        <w:ind w:left="0" w:firstLine="560" w:firstLineChars="200"/>
      </w:pPr>
      <w:r>
        <w:rPr>
          <w:rFonts w:hint="eastAsia"/>
        </w:rPr>
        <w:t>本标准编制说明的附件</w:t>
      </w:r>
    </w:p>
    <w:p>
      <w:pPr>
        <w:pStyle w:val="52"/>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无。</w:t>
      </w:r>
    </w:p>
    <w:p>
      <w:pPr>
        <w:widowControl/>
        <w:spacing w:line="360" w:lineRule="auto"/>
        <w:ind w:left="420" w:right="301"/>
        <w:jc w:val="left"/>
        <w:rPr>
          <w:color w:val="000000"/>
          <w:kern w:val="0"/>
          <w:sz w:val="24"/>
        </w:rPr>
      </w:pPr>
    </w:p>
    <w:p>
      <w:pPr>
        <w:pStyle w:val="52"/>
        <w:ind w:firstLine="480"/>
        <w:jc w:val="right"/>
        <w:rPr>
          <w:rFonts w:asciiTheme="minorEastAsia" w:hAnsiTheme="minorEastAsia" w:eastAsiaTheme="minorEastAsia"/>
          <w:color w:val="000000"/>
          <w:szCs w:val="24"/>
        </w:rPr>
      </w:pPr>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720"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8"/>
      </w:rPr>
    </w:pPr>
    <w:r>
      <w:fldChar w:fldCharType="begin"/>
    </w:r>
    <w:r>
      <w:rPr>
        <w:rStyle w:val="28"/>
      </w:rPr>
      <w:instrText xml:space="preserve">PAGE  </w:instrText>
    </w:r>
    <w:r>
      <w:fldChar w:fldCharType="separate"/>
    </w:r>
    <w:r>
      <w:rPr>
        <w:rStyle w:val="28"/>
      </w:rPr>
      <w:t>5</w:t>
    </w:r>
    <w:r>
      <w:fldChar w:fldCharType="end"/>
    </w:r>
  </w:p>
  <w:p>
    <w:pPr>
      <w:pStyle w:val="49"/>
      <w:rPr>
        <w:rStyle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8"/>
      </w:rPr>
    </w:pPr>
    <w:r>
      <w:fldChar w:fldCharType="begin"/>
    </w:r>
    <w:r>
      <w:rPr>
        <w:rStyle w:val="28"/>
      </w:rPr>
      <w:instrText xml:space="preserve">PAGE  </w:instrText>
    </w:r>
    <w:r>
      <w:fldChar w:fldCharType="end"/>
    </w:r>
  </w:p>
  <w:p>
    <w:pPr>
      <w:pStyle w:val="42"/>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right="90"/>
      <w:jc w:val="right"/>
      <w:rPr>
        <w:rFonts w:ascii="宋体" w:hAnsi="宋体"/>
        <w:sz w:val="18"/>
        <w:szCs w:val="18"/>
        <w:lang w:eastAsia="zh-CN"/>
      </w:rPr>
    </w:pPr>
    <w:r>
      <w:rPr>
        <w:rFonts w:hint="eastAsia" w:ascii="宋体" w:hAnsi="宋体"/>
        <w:bCs/>
        <w:sz w:val="18"/>
        <w:szCs w:val="18"/>
        <w:lang w:eastAsia="zh-CN"/>
      </w:rPr>
      <w:t>《固定资产等资产基础分类与代码》国家标准</w:t>
    </w:r>
    <w:r>
      <w:rPr>
        <w:rFonts w:hint="eastAsia" w:ascii="宋体" w:hAnsi="宋体"/>
        <w:sz w:val="18"/>
        <w:szCs w:val="18"/>
        <w:lang w:eastAsia="zh-CN"/>
      </w:rPr>
      <w:t>编制说明</w:t>
    </w:r>
  </w:p>
  <w:p>
    <w:pPr>
      <w:pStyle w:val="20"/>
      <w:jc w:val="right"/>
      <w:rPr>
        <w:lang w:eastAsia="zh-CN"/>
      </w:rPr>
    </w:pPr>
    <w:r>
      <w:rPr>
        <w:lang w:eastAsia="zh-CN"/>
      </w:rPr>
      <w:pict>
        <v:shape id="AutoShape 2" o:spid="_x0000_s4097" o:spt="32" type="#_x0000_t32" style="position:absolute;left:0pt;margin-left:-0.6pt;margin-top:8.4pt;height:0pt;width:413.25pt;z-index:251658240;mso-width-relative:page;mso-height-relative:page;" filled="f" coordsize="21600,21600" o:gfxdata="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XgwqLWAAAACAEAAA8AAAAAAAAA&#10;AQAgAAAAIgAAAGRycy9kb3ducmV2LnhtbFBLAQIUABQAAAAIAIdO4kBDNhYS2gEAAMADAAAOAAAA&#10;AAAAAAEAIAAAACUBAABkcnMvZTJvRG9jLnhtbFBLBQYAAAAABgAGAFkBAABxBQAAAAA=&#1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CY</w:t>
    </w:r>
    <w:r>
      <w:t>×××</w:t>
    </w:r>
    <w:r>
      <w:rPr>
        <w:rFonts w:hint="eastAsia"/>
      </w:rPr>
      <w:t xml:space="preserve"> 002</w:t>
    </w:r>
    <w:r>
      <w:t>—200</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0"/>
        </w:tabs>
        <w:ind w:left="0" w:firstLine="0"/>
      </w:pPr>
      <w:rPr>
        <w:rFonts w:hint="eastAsia"/>
        <w:b/>
      </w:rPr>
    </w:lvl>
    <w:lvl w:ilvl="1" w:tentative="0">
      <w:start w:val="1"/>
      <w:numFmt w:val="decimal"/>
      <w:lvlText w:val="%1.%2"/>
      <w:lvlJc w:val="left"/>
      <w:pPr>
        <w:tabs>
          <w:tab w:val="left" w:pos="0"/>
        </w:tabs>
        <w:ind w:left="0" w:firstLine="0"/>
      </w:pPr>
      <w:rPr>
        <w:rFonts w:hint="eastAsia"/>
      </w:rPr>
    </w:lvl>
    <w:lvl w:ilvl="2" w:tentative="0">
      <w:start w:val="1"/>
      <w:numFmt w:val="decimal"/>
      <w:pStyle w:val="5"/>
      <w:lvlText w:val="%1.%2.%3"/>
      <w:lvlJc w:val="left"/>
      <w:pPr>
        <w:tabs>
          <w:tab w:val="left" w:pos="0"/>
        </w:tabs>
        <w:ind w:left="0" w:firstLine="0"/>
      </w:pPr>
      <w:rPr>
        <w:rFonts w:hint="eastAsia"/>
      </w:rPr>
    </w:lvl>
    <w:lvl w:ilvl="3" w:tentative="0">
      <w:start w:val="1"/>
      <w:numFmt w:val="decimal"/>
      <w:pStyle w:val="6"/>
      <w:lvlText w:val="%1.%2.%3.%4"/>
      <w:lvlJc w:val="left"/>
      <w:pPr>
        <w:tabs>
          <w:tab w:val="left" w:pos="0"/>
        </w:tabs>
        <w:ind w:left="0" w:firstLine="0"/>
      </w:pPr>
      <w:rPr>
        <w:rFonts w:hint="eastAsia"/>
      </w:rPr>
    </w:lvl>
    <w:lvl w:ilvl="4" w:tentative="0">
      <w:start w:val="1"/>
      <w:numFmt w:val="decimal"/>
      <w:pStyle w:val="7"/>
      <w:lvlText w:val="%1.%2.%3.%4.%5"/>
      <w:lvlJc w:val="left"/>
      <w:pPr>
        <w:tabs>
          <w:tab w:val="left" w:pos="0"/>
        </w:tabs>
        <w:ind w:left="0" w:firstLine="0"/>
      </w:pPr>
      <w:rPr>
        <w:rFonts w:hint="eastAsia"/>
      </w:rPr>
    </w:lvl>
    <w:lvl w:ilvl="5" w:tentative="0">
      <w:start w:val="1"/>
      <w:numFmt w:val="decimal"/>
      <w:pStyle w:val="8"/>
      <w:lvlText w:val="%1.%2.%3.%4.%5.%6"/>
      <w:lvlJc w:val="left"/>
      <w:pPr>
        <w:tabs>
          <w:tab w:val="left" w:pos="0"/>
        </w:tabs>
        <w:ind w:left="0" w:firstLine="0"/>
      </w:pPr>
      <w:rPr>
        <w:rFonts w:hint="eastAsia"/>
      </w:rPr>
    </w:lvl>
    <w:lvl w:ilvl="6" w:tentative="0">
      <w:start w:val="1"/>
      <w:numFmt w:val="decimal"/>
      <w:pStyle w:val="9"/>
      <w:lvlText w:val="%1.%2.%3.%4.%5.%6.%7"/>
      <w:lvlJc w:val="left"/>
      <w:pPr>
        <w:tabs>
          <w:tab w:val="left" w:pos="0"/>
        </w:tabs>
        <w:ind w:left="0" w:firstLine="0"/>
      </w:pPr>
      <w:rPr>
        <w:rFonts w:hint="eastAsia"/>
      </w:rPr>
    </w:lvl>
    <w:lvl w:ilvl="7" w:tentative="0">
      <w:start w:val="1"/>
      <w:numFmt w:val="decimal"/>
      <w:pStyle w:val="10"/>
      <w:lvlText w:val="%1.%2.%3.%4.%5.%6.%7.%8"/>
      <w:lvlJc w:val="left"/>
      <w:pPr>
        <w:tabs>
          <w:tab w:val="left" w:pos="0"/>
        </w:tabs>
        <w:ind w:left="0" w:firstLine="0"/>
      </w:pPr>
      <w:rPr>
        <w:rFonts w:hint="eastAsia"/>
      </w:rPr>
    </w:lvl>
    <w:lvl w:ilvl="8" w:tentative="0">
      <w:start w:val="1"/>
      <w:numFmt w:val="decimal"/>
      <w:pStyle w:val="11"/>
      <w:lvlText w:val="%1.%2.%3.%4.%5.%6.%7.%8.%9"/>
      <w:lvlJc w:val="left"/>
      <w:pPr>
        <w:tabs>
          <w:tab w:val="left" w:pos="0"/>
        </w:tabs>
        <w:ind w:left="0" w:firstLine="0"/>
      </w:pPr>
      <w:rPr>
        <w:rFonts w:hint="eastAsia"/>
      </w:rPr>
    </w:lvl>
  </w:abstractNum>
  <w:abstractNum w:abstractNumId="1">
    <w:nsid w:val="0000000D"/>
    <w:multiLevelType w:val="multilevel"/>
    <w:tmpl w:val="0000000D"/>
    <w:lvl w:ilvl="0" w:tentative="0">
      <w:start w:val="1"/>
      <w:numFmt w:val="none"/>
      <w:pStyle w:val="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9102AD"/>
    <w:multiLevelType w:val="multilevel"/>
    <w:tmpl w:val="079102AD"/>
    <w:lvl w:ilvl="0" w:tentative="0">
      <w:start w:val="1"/>
      <w:numFmt w:val="decimal"/>
      <w:pStyle w:val="7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D983844"/>
    <w:multiLevelType w:val="multilevel"/>
    <w:tmpl w:val="0D983844"/>
    <w:lvl w:ilvl="0" w:tentative="0">
      <w:start w:val="1"/>
      <w:numFmt w:val="decimal"/>
      <w:pStyle w:val="6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0A76312"/>
    <w:multiLevelType w:val="multilevel"/>
    <w:tmpl w:val="20A7631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521C4680"/>
    <w:multiLevelType w:val="multilevel"/>
    <w:tmpl w:val="521C4680"/>
    <w:lvl w:ilvl="0" w:tentative="0">
      <w:start w:val="1"/>
      <w:numFmt w:val="chineseCountingThousand"/>
      <w:lvlText w:val="(%1)"/>
      <w:lvlJc w:val="left"/>
      <w:pPr>
        <w:ind w:left="1322" w:hanging="420"/>
      </w:pPr>
    </w:lvl>
    <w:lvl w:ilvl="1" w:tentative="0">
      <w:start w:val="1"/>
      <w:numFmt w:val="lowerLetter"/>
      <w:lvlText w:val="%2)"/>
      <w:lvlJc w:val="left"/>
      <w:pPr>
        <w:ind w:left="1742" w:hanging="420"/>
      </w:p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7">
    <w:nsid w:val="557C2AF5"/>
    <w:multiLevelType w:val="multilevel"/>
    <w:tmpl w:val="557C2AF5"/>
    <w:lvl w:ilvl="0" w:tentative="0">
      <w:start w:val="1"/>
      <w:numFmt w:val="decimal"/>
      <w:pStyle w:val="6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pStyle w:val="68"/>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8">
    <w:nsid w:val="6682575D"/>
    <w:multiLevelType w:val="multilevel"/>
    <w:tmpl w:val="6682575D"/>
    <w:lvl w:ilvl="0" w:tentative="0">
      <w:start w:val="1"/>
      <w:numFmt w:val="chineseCountingThousand"/>
      <w:lvlText w:val="(%1)"/>
      <w:lvlJc w:val="left"/>
      <w:pPr>
        <w:ind w:left="902" w:hanging="420"/>
      </w:pPr>
    </w:lvl>
    <w:lvl w:ilvl="1" w:tentative="0">
      <w:start w:val="1"/>
      <w:numFmt w:val="chineseCountingThousand"/>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7978324F"/>
    <w:multiLevelType w:val="multilevel"/>
    <w:tmpl w:val="7978324F"/>
    <w:lvl w:ilvl="0" w:tentative="0">
      <w:start w:val="1"/>
      <w:numFmt w:val="bullet"/>
      <w:lvlText w:val=""/>
      <w:lvlJc w:val="left"/>
      <w:pPr>
        <w:ind w:left="0" w:firstLine="0"/>
      </w:pPr>
      <w:rPr>
        <w:rFonts w:hint="default" w:ascii="Wingdings" w:hAnsi="Wingdings"/>
        <w:b w:val="0"/>
        <w:i w:val="0"/>
        <w:color w:val="auto"/>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38"/>
      <w:suff w:val="nothing"/>
      <w:lvlText w:val="%1%2.%3.%4　"/>
      <w:lvlJc w:val="left"/>
      <w:pPr>
        <w:ind w:left="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pStyle w:val="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7E6E0B32"/>
    <w:multiLevelType w:val="multilevel"/>
    <w:tmpl w:val="7E6E0B32"/>
    <w:lvl w:ilvl="0" w:tentative="0">
      <w:start w:val="1"/>
      <w:numFmt w:val="japaneseCounting"/>
      <w:lvlText w:val="%1、"/>
      <w:lvlJc w:val="left"/>
      <w:pPr>
        <w:ind w:left="420" w:hanging="420"/>
      </w:pPr>
      <w:rPr>
        <w:rFonts w:hint="default"/>
        <w:lang w:val="en-US"/>
      </w:rPr>
    </w:lvl>
    <w:lvl w:ilvl="1" w:tentative="0">
      <w:start w:val="1"/>
      <w:numFmt w:val="japaneseCounting"/>
      <w:lvlText w:val="（%2）"/>
      <w:lvlJc w:val="left"/>
      <w:pPr>
        <w:ind w:left="1049"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1"/>
  </w:num>
  <w:num w:numId="4">
    <w:abstractNumId w:val="5"/>
  </w:num>
  <w:num w:numId="5">
    <w:abstractNumId w:val="3"/>
  </w:num>
  <w:num w:numId="6">
    <w:abstractNumId w:val="7"/>
  </w:num>
  <w:num w:numId="7">
    <w:abstractNumId w:val="2"/>
  </w:num>
  <w:num w:numId="8">
    <w:abstractNumId w:val="10"/>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4"/>
      <o:rules v:ext="edit">
        <o:r id="V:Rule1" type="connector" idref="#AutoShape 2"/>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2DFA"/>
    <w:rsid w:val="000270E5"/>
    <w:rsid w:val="000571FF"/>
    <w:rsid w:val="00072360"/>
    <w:rsid w:val="000A0B7C"/>
    <w:rsid w:val="000A280F"/>
    <w:rsid w:val="000D67EC"/>
    <w:rsid w:val="000F3843"/>
    <w:rsid w:val="0010382A"/>
    <w:rsid w:val="00103CCF"/>
    <w:rsid w:val="00104041"/>
    <w:rsid w:val="001A0DDB"/>
    <w:rsid w:val="001B21FA"/>
    <w:rsid w:val="001C094F"/>
    <w:rsid w:val="001D3C58"/>
    <w:rsid w:val="001F7EB2"/>
    <w:rsid w:val="00226050"/>
    <w:rsid w:val="002500F0"/>
    <w:rsid w:val="00254F45"/>
    <w:rsid w:val="002566C7"/>
    <w:rsid w:val="002620EB"/>
    <w:rsid w:val="002A4508"/>
    <w:rsid w:val="002B5098"/>
    <w:rsid w:val="002E27F8"/>
    <w:rsid w:val="002F01D7"/>
    <w:rsid w:val="003053E7"/>
    <w:rsid w:val="00310794"/>
    <w:rsid w:val="00315E1A"/>
    <w:rsid w:val="00317916"/>
    <w:rsid w:val="003362E1"/>
    <w:rsid w:val="00345C02"/>
    <w:rsid w:val="00376EB3"/>
    <w:rsid w:val="00377FE2"/>
    <w:rsid w:val="003A51D3"/>
    <w:rsid w:val="003D35C1"/>
    <w:rsid w:val="003E4CAA"/>
    <w:rsid w:val="00407123"/>
    <w:rsid w:val="00422071"/>
    <w:rsid w:val="00426532"/>
    <w:rsid w:val="0043265A"/>
    <w:rsid w:val="004355C6"/>
    <w:rsid w:val="004430F3"/>
    <w:rsid w:val="0045562D"/>
    <w:rsid w:val="00457A6D"/>
    <w:rsid w:val="0046333B"/>
    <w:rsid w:val="004B3DF2"/>
    <w:rsid w:val="004B4C8A"/>
    <w:rsid w:val="004C1F3C"/>
    <w:rsid w:val="004C6899"/>
    <w:rsid w:val="004E6E7F"/>
    <w:rsid w:val="004F65DE"/>
    <w:rsid w:val="004F73FA"/>
    <w:rsid w:val="00522E77"/>
    <w:rsid w:val="00531167"/>
    <w:rsid w:val="00531AD7"/>
    <w:rsid w:val="005408A7"/>
    <w:rsid w:val="00565823"/>
    <w:rsid w:val="005672F6"/>
    <w:rsid w:val="00576850"/>
    <w:rsid w:val="00581A5F"/>
    <w:rsid w:val="00582A33"/>
    <w:rsid w:val="005929B9"/>
    <w:rsid w:val="005A383B"/>
    <w:rsid w:val="005B2414"/>
    <w:rsid w:val="005E0B27"/>
    <w:rsid w:val="005E3892"/>
    <w:rsid w:val="005E4D35"/>
    <w:rsid w:val="005F2C63"/>
    <w:rsid w:val="005F662F"/>
    <w:rsid w:val="0062318F"/>
    <w:rsid w:val="00630D0D"/>
    <w:rsid w:val="006318FA"/>
    <w:rsid w:val="00646F52"/>
    <w:rsid w:val="006535EF"/>
    <w:rsid w:val="006706E8"/>
    <w:rsid w:val="00682BFF"/>
    <w:rsid w:val="00685779"/>
    <w:rsid w:val="00694828"/>
    <w:rsid w:val="00695A9D"/>
    <w:rsid w:val="006A13DB"/>
    <w:rsid w:val="006C3DDE"/>
    <w:rsid w:val="006E302D"/>
    <w:rsid w:val="006F147A"/>
    <w:rsid w:val="00725DCC"/>
    <w:rsid w:val="007462FF"/>
    <w:rsid w:val="00795511"/>
    <w:rsid w:val="007A52D2"/>
    <w:rsid w:val="007B2D41"/>
    <w:rsid w:val="007B55CD"/>
    <w:rsid w:val="007C1CA7"/>
    <w:rsid w:val="007C2DFA"/>
    <w:rsid w:val="007D1345"/>
    <w:rsid w:val="007E11EB"/>
    <w:rsid w:val="007E3A10"/>
    <w:rsid w:val="00833F96"/>
    <w:rsid w:val="00835694"/>
    <w:rsid w:val="00836097"/>
    <w:rsid w:val="00845F67"/>
    <w:rsid w:val="00861A3D"/>
    <w:rsid w:val="00872EAC"/>
    <w:rsid w:val="008C7EB1"/>
    <w:rsid w:val="00911351"/>
    <w:rsid w:val="00914131"/>
    <w:rsid w:val="00915F37"/>
    <w:rsid w:val="0091664E"/>
    <w:rsid w:val="00951AD8"/>
    <w:rsid w:val="00956F45"/>
    <w:rsid w:val="009630D5"/>
    <w:rsid w:val="00966829"/>
    <w:rsid w:val="00995844"/>
    <w:rsid w:val="009F0B6A"/>
    <w:rsid w:val="009F4B1C"/>
    <w:rsid w:val="00A00AFB"/>
    <w:rsid w:val="00A01096"/>
    <w:rsid w:val="00A15033"/>
    <w:rsid w:val="00A1703C"/>
    <w:rsid w:val="00A44BEE"/>
    <w:rsid w:val="00A51219"/>
    <w:rsid w:val="00A5541E"/>
    <w:rsid w:val="00A57874"/>
    <w:rsid w:val="00A71C8B"/>
    <w:rsid w:val="00A85FC6"/>
    <w:rsid w:val="00A90E07"/>
    <w:rsid w:val="00AA0E73"/>
    <w:rsid w:val="00AA5DC4"/>
    <w:rsid w:val="00AF4797"/>
    <w:rsid w:val="00AF4AF0"/>
    <w:rsid w:val="00B04ADA"/>
    <w:rsid w:val="00B0657E"/>
    <w:rsid w:val="00B16CC4"/>
    <w:rsid w:val="00B245A7"/>
    <w:rsid w:val="00B36C1F"/>
    <w:rsid w:val="00B47F22"/>
    <w:rsid w:val="00B57699"/>
    <w:rsid w:val="00B80B5E"/>
    <w:rsid w:val="00B92B0B"/>
    <w:rsid w:val="00BA6CEE"/>
    <w:rsid w:val="00BB044A"/>
    <w:rsid w:val="00BB7207"/>
    <w:rsid w:val="00BF0B85"/>
    <w:rsid w:val="00C020CD"/>
    <w:rsid w:val="00C0357C"/>
    <w:rsid w:val="00C06F64"/>
    <w:rsid w:val="00C3328F"/>
    <w:rsid w:val="00C73963"/>
    <w:rsid w:val="00C75ED3"/>
    <w:rsid w:val="00C81F3D"/>
    <w:rsid w:val="00C94E96"/>
    <w:rsid w:val="00CB22FB"/>
    <w:rsid w:val="00CC1DF4"/>
    <w:rsid w:val="00CE2753"/>
    <w:rsid w:val="00CF0F3F"/>
    <w:rsid w:val="00D0738A"/>
    <w:rsid w:val="00D34FC0"/>
    <w:rsid w:val="00D438E8"/>
    <w:rsid w:val="00D647CA"/>
    <w:rsid w:val="00D7467D"/>
    <w:rsid w:val="00D81F33"/>
    <w:rsid w:val="00DB4376"/>
    <w:rsid w:val="00DC28C9"/>
    <w:rsid w:val="00DD4BC6"/>
    <w:rsid w:val="00E171E0"/>
    <w:rsid w:val="00E24263"/>
    <w:rsid w:val="00E46070"/>
    <w:rsid w:val="00E60423"/>
    <w:rsid w:val="00E67BFD"/>
    <w:rsid w:val="00E75D7B"/>
    <w:rsid w:val="00E7631F"/>
    <w:rsid w:val="00E86B92"/>
    <w:rsid w:val="00EA4384"/>
    <w:rsid w:val="00EC76A7"/>
    <w:rsid w:val="00ED13DA"/>
    <w:rsid w:val="00F070B3"/>
    <w:rsid w:val="00F0781D"/>
    <w:rsid w:val="00F13B2C"/>
    <w:rsid w:val="00F15E56"/>
    <w:rsid w:val="00F508EA"/>
    <w:rsid w:val="00F659D3"/>
    <w:rsid w:val="00FA2094"/>
    <w:rsid w:val="00FA6A83"/>
    <w:rsid w:val="00FA6DE5"/>
    <w:rsid w:val="00FB008A"/>
    <w:rsid w:val="00FB2754"/>
    <w:rsid w:val="00FD4F86"/>
    <w:rsid w:val="00FE1FFA"/>
    <w:rsid w:val="00FF096D"/>
    <w:rsid w:val="00FF2720"/>
    <w:rsid w:val="09992339"/>
    <w:rsid w:val="0FB042FD"/>
    <w:rsid w:val="24AD7173"/>
    <w:rsid w:val="2BF64F8B"/>
    <w:rsid w:val="2CCC0568"/>
    <w:rsid w:val="2F941187"/>
    <w:rsid w:val="302D3E0B"/>
    <w:rsid w:val="3B980E06"/>
    <w:rsid w:val="3C8A3944"/>
    <w:rsid w:val="40690554"/>
    <w:rsid w:val="47F7C226"/>
    <w:rsid w:val="4B3E5130"/>
    <w:rsid w:val="4F5F5EAB"/>
    <w:rsid w:val="5DD00029"/>
    <w:rsid w:val="5F9FBA16"/>
    <w:rsid w:val="66043E6C"/>
    <w:rsid w:val="77FEF315"/>
    <w:rsid w:val="7FFFE6B2"/>
    <w:rsid w:val="D8EB2300"/>
    <w:rsid w:val="F6E9AFB7"/>
    <w:rsid w:val="FB7A00E6"/>
    <w:rsid w:val="FFFFC1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65"/>
    <w:qFormat/>
    <w:uiPriority w:val="0"/>
    <w:pPr>
      <w:keepNext/>
      <w:spacing w:before="120" w:after="120"/>
      <w:outlineLvl w:val="0"/>
    </w:pPr>
    <w:rPr>
      <w:rFonts w:ascii="Arial" w:hAnsi="Arial" w:eastAsia="黑体"/>
      <w:b/>
      <w:kern w:val="0"/>
      <w:sz w:val="28"/>
      <w:szCs w:val="28"/>
    </w:rPr>
  </w:style>
  <w:style w:type="paragraph" w:styleId="4">
    <w:name w:val="heading 2"/>
    <w:basedOn w:val="1"/>
    <w:next w:val="1"/>
    <w:link w:val="5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2"/>
    <w:next w:val="3"/>
    <w:qFormat/>
    <w:uiPriority w:val="0"/>
    <w:pPr>
      <w:numPr>
        <w:ilvl w:val="2"/>
        <w:numId w:val="1"/>
      </w:numPr>
      <w:spacing w:after="240"/>
      <w:outlineLvl w:val="2"/>
    </w:pPr>
    <w:rPr>
      <w:b w:val="0"/>
      <w:i/>
    </w:rPr>
  </w:style>
  <w:style w:type="paragraph" w:styleId="6">
    <w:name w:val="heading 4"/>
    <w:basedOn w:val="2"/>
    <w:next w:val="1"/>
    <w:qFormat/>
    <w:uiPriority w:val="0"/>
    <w:pPr>
      <w:numPr>
        <w:ilvl w:val="3"/>
        <w:numId w:val="1"/>
      </w:numPr>
      <w:spacing w:after="240"/>
      <w:jc w:val="left"/>
      <w:outlineLvl w:val="3"/>
    </w:pPr>
    <w:rPr>
      <w:b w:val="0"/>
    </w:rPr>
  </w:style>
  <w:style w:type="paragraph" w:styleId="7">
    <w:name w:val="heading 5"/>
    <w:basedOn w:val="1"/>
    <w:next w:val="1"/>
    <w:qFormat/>
    <w:uiPriority w:val="0"/>
    <w:pPr>
      <w:numPr>
        <w:ilvl w:val="4"/>
        <w:numId w:val="1"/>
      </w:numPr>
      <w:spacing w:before="120" w:after="240" w:line="360" w:lineRule="auto"/>
      <w:jc w:val="left"/>
      <w:outlineLvl w:val="4"/>
    </w:pPr>
    <w:rPr>
      <w:rFonts w:eastAsia="黑体"/>
      <w:kern w:val="0"/>
      <w:sz w:val="28"/>
      <w:szCs w:val="20"/>
      <w:lang w:eastAsia="en-US"/>
    </w:rPr>
  </w:style>
  <w:style w:type="paragraph" w:styleId="8">
    <w:name w:val="heading 6"/>
    <w:basedOn w:val="1"/>
    <w:next w:val="1"/>
    <w:qFormat/>
    <w:uiPriority w:val="0"/>
    <w:pPr>
      <w:numPr>
        <w:ilvl w:val="5"/>
        <w:numId w:val="1"/>
      </w:numPr>
      <w:spacing w:before="240" w:after="60" w:line="240" w:lineRule="atLeast"/>
      <w:jc w:val="left"/>
      <w:outlineLvl w:val="5"/>
    </w:pPr>
    <w:rPr>
      <w:i/>
      <w:kern w:val="0"/>
      <w:sz w:val="22"/>
      <w:szCs w:val="20"/>
      <w:lang w:eastAsia="en-US"/>
    </w:rPr>
  </w:style>
  <w:style w:type="paragraph" w:styleId="9">
    <w:name w:val="heading 7"/>
    <w:basedOn w:val="1"/>
    <w:next w:val="1"/>
    <w:qFormat/>
    <w:uiPriority w:val="0"/>
    <w:pPr>
      <w:numPr>
        <w:ilvl w:val="6"/>
        <w:numId w:val="1"/>
      </w:numPr>
      <w:spacing w:before="240" w:after="60" w:line="240" w:lineRule="atLeast"/>
      <w:jc w:val="left"/>
      <w:outlineLvl w:val="6"/>
    </w:pPr>
    <w:rPr>
      <w:kern w:val="0"/>
      <w:sz w:val="20"/>
      <w:szCs w:val="20"/>
      <w:lang w:eastAsia="en-US"/>
    </w:rPr>
  </w:style>
  <w:style w:type="paragraph" w:styleId="10">
    <w:name w:val="heading 8"/>
    <w:basedOn w:val="1"/>
    <w:next w:val="1"/>
    <w:qFormat/>
    <w:uiPriority w:val="0"/>
    <w:pPr>
      <w:numPr>
        <w:ilvl w:val="7"/>
        <w:numId w:val="1"/>
      </w:numPr>
      <w:spacing w:before="240" w:after="60" w:line="240" w:lineRule="atLeast"/>
      <w:jc w:val="left"/>
      <w:outlineLvl w:val="7"/>
    </w:pPr>
    <w:rPr>
      <w:i/>
      <w:kern w:val="0"/>
      <w:sz w:val="20"/>
      <w:szCs w:val="20"/>
      <w:lang w:eastAsia="en-US"/>
    </w:rPr>
  </w:style>
  <w:style w:type="paragraph" w:styleId="11">
    <w:name w:val="heading 9"/>
    <w:basedOn w:val="1"/>
    <w:next w:val="1"/>
    <w:qFormat/>
    <w:uiPriority w:val="0"/>
    <w:pPr>
      <w:numPr>
        <w:ilvl w:val="8"/>
        <w:numId w:val="1"/>
      </w:numPr>
      <w:spacing w:before="240" w:after="60" w:line="240" w:lineRule="atLeast"/>
      <w:jc w:val="left"/>
      <w:outlineLvl w:val="8"/>
    </w:pPr>
    <w:rPr>
      <w:b/>
      <w:i/>
      <w:kern w:val="0"/>
      <w:sz w:val="18"/>
      <w:szCs w:val="20"/>
      <w:lang w:eastAsia="en-US"/>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12">
    <w:name w:val="Normal Indent"/>
    <w:basedOn w:val="1"/>
    <w:qFormat/>
    <w:uiPriority w:val="0"/>
    <w:pPr>
      <w:ind w:firstLine="420"/>
    </w:pPr>
    <w:rPr>
      <w:szCs w:val="20"/>
    </w:rPr>
  </w:style>
  <w:style w:type="paragraph" w:styleId="13">
    <w:name w:val="Document Map"/>
    <w:basedOn w:val="1"/>
    <w:link w:val="32"/>
    <w:qFormat/>
    <w:uiPriority w:val="0"/>
    <w:pPr>
      <w:shd w:val="clear" w:color="auto" w:fill="000080"/>
    </w:pPr>
    <w:rPr>
      <w:shd w:val="clear" w:color="auto" w:fill="000080"/>
    </w:rPr>
  </w:style>
  <w:style w:type="paragraph" w:styleId="14">
    <w:name w:val="annotation text"/>
    <w:basedOn w:val="1"/>
    <w:link w:val="31"/>
    <w:qFormat/>
    <w:uiPriority w:val="0"/>
    <w:pPr>
      <w:jc w:val="left"/>
    </w:pPr>
  </w:style>
  <w:style w:type="paragraph" w:styleId="15">
    <w:name w:val="Body Text Indent"/>
    <w:basedOn w:val="1"/>
    <w:link w:val="58"/>
    <w:qFormat/>
    <w:uiPriority w:val="0"/>
    <w:pPr>
      <w:spacing w:after="120"/>
      <w:ind w:left="420" w:leftChars="200"/>
    </w:pPr>
  </w:style>
  <w:style w:type="paragraph" w:styleId="16">
    <w:name w:val="HTML Address"/>
    <w:basedOn w:val="1"/>
    <w:qFormat/>
    <w:uiPriority w:val="0"/>
    <w:rPr>
      <w:i/>
      <w:iCs/>
    </w:rPr>
  </w:style>
  <w:style w:type="paragraph" w:styleId="17">
    <w:name w:val="Plain Text"/>
    <w:basedOn w:val="1"/>
    <w:qFormat/>
    <w:uiPriority w:val="0"/>
    <w:rPr>
      <w:rFonts w:ascii="宋体" w:hAnsi="Courier New"/>
      <w:szCs w:val="21"/>
    </w:rPr>
  </w:style>
  <w:style w:type="paragraph" w:styleId="18">
    <w:name w:val="Balloon Text"/>
    <w:basedOn w:val="1"/>
    <w:link w:val="33"/>
    <w:qFormat/>
    <w:uiPriority w:val="0"/>
    <w:rPr>
      <w:sz w:val="18"/>
      <w:szCs w:val="18"/>
    </w:rPr>
  </w:style>
  <w:style w:type="paragraph" w:styleId="19">
    <w:name w:val="footer"/>
    <w:basedOn w:val="1"/>
    <w:qFormat/>
    <w:uiPriority w:val="0"/>
    <w:pPr>
      <w:tabs>
        <w:tab w:val="center" w:pos="4320"/>
        <w:tab w:val="right" w:pos="8640"/>
      </w:tabs>
      <w:spacing w:line="240" w:lineRule="atLeast"/>
      <w:jc w:val="left"/>
    </w:pPr>
    <w:rPr>
      <w:kern w:val="0"/>
      <w:sz w:val="20"/>
      <w:szCs w:val="20"/>
      <w:lang w:eastAsia="en-US"/>
    </w:rPr>
  </w:style>
  <w:style w:type="paragraph" w:styleId="20">
    <w:name w:val="header"/>
    <w:basedOn w:val="1"/>
    <w:qFormat/>
    <w:uiPriority w:val="0"/>
    <w:pPr>
      <w:tabs>
        <w:tab w:val="center" w:pos="4320"/>
        <w:tab w:val="right" w:pos="8640"/>
      </w:tabs>
      <w:spacing w:line="240" w:lineRule="atLeast"/>
      <w:jc w:val="left"/>
    </w:pPr>
    <w:rPr>
      <w:kern w:val="0"/>
      <w:sz w:val="20"/>
      <w:szCs w:val="20"/>
      <w:lang w:eastAsia="en-US"/>
    </w:rPr>
  </w:style>
  <w:style w:type="paragraph" w:styleId="21">
    <w:name w:val="Body Text Indent 3"/>
    <w:basedOn w:val="1"/>
    <w:qFormat/>
    <w:uiPriority w:val="0"/>
    <w:pPr>
      <w:ind w:left="562"/>
    </w:pPr>
  </w:style>
  <w:style w:type="paragraph" w:styleId="22">
    <w:name w:val="toc 2"/>
    <w:basedOn w:val="1"/>
    <w:next w:val="1"/>
    <w:qFormat/>
    <w:uiPriority w:val="0"/>
    <w:pPr>
      <w:jc w:val="left"/>
    </w:pPr>
    <w:rPr>
      <w:smallCaps/>
      <w:sz w:val="20"/>
      <w:szCs w:val="20"/>
    </w:rPr>
  </w:style>
  <w:style w:type="paragraph" w:styleId="2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unhideWhenUsed/>
    <w:qFormat/>
    <w:uiPriority w:val="99"/>
    <w:rPr>
      <w:sz w:val="24"/>
    </w:rPr>
  </w:style>
  <w:style w:type="paragraph" w:styleId="25">
    <w:name w:val="annotation subject"/>
    <w:basedOn w:val="14"/>
    <w:next w:val="14"/>
    <w:link w:val="34"/>
    <w:qFormat/>
    <w:uiPriority w:val="0"/>
    <w:rPr>
      <w:b/>
      <w:bCs/>
    </w:rPr>
  </w:style>
  <w:style w:type="character" w:styleId="28">
    <w:name w:val="page number"/>
    <w:basedOn w:val="27"/>
    <w:qFormat/>
    <w:uiPriority w:val="0"/>
  </w:style>
  <w:style w:type="character" w:styleId="29">
    <w:name w:val="annotation reference"/>
    <w:qFormat/>
    <w:uiPriority w:val="0"/>
    <w:rPr>
      <w:sz w:val="21"/>
      <w:szCs w:val="21"/>
    </w:rPr>
  </w:style>
  <w:style w:type="character" w:styleId="30">
    <w:name w:val="HTML Sample"/>
    <w:qFormat/>
    <w:uiPriority w:val="0"/>
    <w:rPr>
      <w:rFonts w:ascii="Courier New" w:hAnsi="Courier New"/>
    </w:rPr>
  </w:style>
  <w:style w:type="character" w:customStyle="1" w:styleId="31">
    <w:name w:val="批注文字 字符"/>
    <w:link w:val="14"/>
    <w:qFormat/>
    <w:uiPriority w:val="0"/>
    <w:rPr>
      <w:kern w:val="2"/>
      <w:sz w:val="21"/>
      <w:szCs w:val="24"/>
    </w:rPr>
  </w:style>
  <w:style w:type="character" w:customStyle="1" w:styleId="32">
    <w:name w:val="文档结构图 字符"/>
    <w:link w:val="13"/>
    <w:qFormat/>
    <w:uiPriority w:val="0"/>
    <w:rPr>
      <w:kern w:val="2"/>
      <w:sz w:val="21"/>
      <w:szCs w:val="24"/>
      <w:shd w:val="clear" w:color="auto" w:fill="000080"/>
    </w:rPr>
  </w:style>
  <w:style w:type="character" w:customStyle="1" w:styleId="33">
    <w:name w:val="批注框文本 字符"/>
    <w:link w:val="18"/>
    <w:qFormat/>
    <w:uiPriority w:val="0"/>
    <w:rPr>
      <w:kern w:val="2"/>
      <w:sz w:val="18"/>
      <w:szCs w:val="18"/>
    </w:rPr>
  </w:style>
  <w:style w:type="character" w:customStyle="1" w:styleId="34">
    <w:name w:val="批注主题 字符"/>
    <w:link w:val="25"/>
    <w:qFormat/>
    <w:uiPriority w:val="0"/>
    <w:rPr>
      <w:b/>
      <w:bCs/>
      <w:kern w:val="2"/>
      <w:sz w:val="21"/>
      <w:szCs w:val="24"/>
    </w:rPr>
  </w:style>
  <w:style w:type="paragraph" w:customStyle="1" w:styleId="35">
    <w:name w:val="五级无标题条"/>
    <w:basedOn w:val="1"/>
    <w:qFormat/>
    <w:uiPriority w:val="0"/>
    <w:pPr>
      <w:numPr>
        <w:ilvl w:val="6"/>
        <w:numId w:val="2"/>
      </w:numPr>
    </w:pPr>
  </w:style>
  <w:style w:type="paragraph" w:customStyle="1" w:styleId="36">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37">
    <w:name w:val="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二级无标题条"/>
    <w:basedOn w:val="1"/>
    <w:qFormat/>
    <w:uiPriority w:val="0"/>
    <w:pPr>
      <w:numPr>
        <w:ilvl w:val="3"/>
        <w:numId w:val="2"/>
      </w:numPr>
    </w:pPr>
  </w:style>
  <w:style w:type="paragraph" w:customStyle="1" w:styleId="39">
    <w:name w:val="正文样式"/>
    <w:basedOn w:val="1"/>
    <w:qFormat/>
    <w:uiPriority w:val="0"/>
    <w:pPr>
      <w:spacing w:before="120" w:after="240" w:line="360" w:lineRule="auto"/>
      <w:ind w:firstLine="560" w:firstLineChars="200"/>
      <w:jc w:val="left"/>
    </w:pPr>
    <w:rPr>
      <w:rFonts w:eastAsia="仿宋_GB2312"/>
      <w:sz w:val="28"/>
    </w:rPr>
  </w:style>
  <w:style w:type="paragraph" w:customStyle="1" w:styleId="40">
    <w:name w:val="CM24"/>
    <w:qFormat/>
    <w:uiPriority w:val="0"/>
    <w:pPr>
      <w:spacing w:after="133"/>
    </w:pPr>
    <w:rPr>
      <w:rFonts w:ascii="Times New Roman" w:hAnsi="Times New Roman" w:eastAsia="宋体" w:cs="Times New Roman"/>
      <w:lang w:val="en-US" w:eastAsia="zh-CN" w:bidi="ar-SA"/>
    </w:rPr>
  </w:style>
  <w:style w:type="paragraph" w:customStyle="1" w:styleId="41">
    <w:name w:val="三级无标题条"/>
    <w:basedOn w:val="1"/>
    <w:qFormat/>
    <w:uiPriority w:val="0"/>
    <w:pPr>
      <w:numPr>
        <w:ilvl w:val="4"/>
        <w:numId w:val="2"/>
      </w:numPr>
    </w:pPr>
  </w:style>
  <w:style w:type="paragraph" w:customStyle="1" w:styleId="4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3">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4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
    <w:name w:val="水利厅正文文字"/>
    <w:qFormat/>
    <w:uiPriority w:val="0"/>
    <w:pPr>
      <w:spacing w:line="360" w:lineRule="auto"/>
      <w:ind w:firstLine="480" w:firstLineChars="200"/>
    </w:pPr>
    <w:rPr>
      <w:rFonts w:ascii="Times New Roman" w:hAnsi="宋体" w:eastAsia="宋体" w:cs="Arial"/>
      <w:sz w:val="24"/>
      <w:lang w:val="en-US" w:eastAsia="zh-CN" w:bidi="ar-SA"/>
    </w:rPr>
  </w:style>
  <w:style w:type="paragraph" w:customStyle="1" w:styleId="46">
    <w:name w:val="一级条标题"/>
    <w:basedOn w:val="1"/>
    <w:next w:val="37"/>
    <w:qFormat/>
    <w:uiPriority w:val="0"/>
    <w:pPr>
      <w:widowControl/>
      <w:outlineLvl w:val="2"/>
    </w:pPr>
    <w:rPr>
      <w:rFonts w:ascii="黑体" w:eastAsia="黑体"/>
      <w:kern w:val="0"/>
      <w:szCs w:val="20"/>
    </w:rPr>
  </w:style>
  <w:style w:type="paragraph" w:customStyle="1" w:styleId="47">
    <w:name w:val="一级无标题条"/>
    <w:basedOn w:val="1"/>
    <w:qFormat/>
    <w:uiPriority w:val="0"/>
    <w:pPr>
      <w:numPr>
        <w:ilvl w:val="2"/>
        <w:numId w:val="2"/>
      </w:numPr>
    </w:pPr>
  </w:style>
  <w:style w:type="paragraph" w:customStyle="1" w:styleId="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0">
    <w:name w:val="四级无标题条"/>
    <w:basedOn w:val="1"/>
    <w:qFormat/>
    <w:uiPriority w:val="0"/>
    <w:pPr>
      <w:numPr>
        <w:ilvl w:val="5"/>
        <w:numId w:val="2"/>
      </w:numPr>
    </w:pPr>
  </w:style>
  <w:style w:type="character" w:customStyle="1" w:styleId="51">
    <w:name w:val="段 Char"/>
    <w:link w:val="37"/>
    <w:qFormat/>
    <w:uiPriority w:val="0"/>
    <w:rPr>
      <w:rFonts w:ascii="宋体"/>
      <w:sz w:val="21"/>
      <w:lang w:bidi="ar-SA"/>
    </w:rPr>
  </w:style>
  <w:style w:type="paragraph" w:customStyle="1" w:styleId="52">
    <w:name w:val="列出段落1"/>
    <w:basedOn w:val="1"/>
    <w:link w:val="53"/>
    <w:qFormat/>
    <w:uiPriority w:val="0"/>
    <w:pPr>
      <w:adjustRightInd w:val="0"/>
      <w:snapToGrid w:val="0"/>
      <w:spacing w:line="360" w:lineRule="auto"/>
      <w:ind w:firstLine="420" w:firstLineChars="200"/>
    </w:pPr>
    <w:rPr>
      <w:rFonts w:ascii="Calibri" w:hAnsi="Calibri" w:eastAsia="仿宋_GB2312"/>
      <w:sz w:val="24"/>
      <w:szCs w:val="22"/>
    </w:rPr>
  </w:style>
  <w:style w:type="character" w:customStyle="1" w:styleId="53">
    <w:name w:val="列出段落 字符"/>
    <w:link w:val="52"/>
    <w:qFormat/>
    <w:uiPriority w:val="0"/>
    <w:rPr>
      <w:rFonts w:ascii="Calibri" w:hAnsi="Calibri" w:eastAsia="仿宋_GB2312"/>
      <w:kern w:val="2"/>
      <w:sz w:val="24"/>
      <w:szCs w:val="22"/>
    </w:rPr>
  </w:style>
  <w:style w:type="character" w:customStyle="1" w:styleId="54">
    <w:name w:val="标题 2 字符"/>
    <w:basedOn w:val="27"/>
    <w:link w:val="4"/>
    <w:qFormat/>
    <w:uiPriority w:val="9"/>
    <w:rPr>
      <w:rFonts w:asciiTheme="majorHAnsi" w:hAnsiTheme="majorHAnsi" w:eastAsiaTheme="majorEastAsia" w:cstheme="majorBidi"/>
      <w:b/>
      <w:bCs/>
      <w:kern w:val="2"/>
      <w:sz w:val="32"/>
      <w:szCs w:val="32"/>
    </w:rPr>
  </w:style>
  <w:style w:type="paragraph" w:customStyle="1" w:styleId="55">
    <w:name w:val="列出段落3"/>
    <w:basedOn w:val="1"/>
    <w:qFormat/>
    <w:uiPriority w:val="99"/>
    <w:pPr>
      <w:widowControl/>
      <w:spacing w:after="120" w:line="276" w:lineRule="auto"/>
      <w:ind w:firstLine="420" w:firstLineChars="200"/>
    </w:pPr>
    <w:rPr>
      <w:rFonts w:ascii="Calibri" w:hAnsi="Calibri" w:cs="黑体"/>
      <w:sz w:val="28"/>
    </w:rPr>
  </w:style>
  <w:style w:type="paragraph" w:customStyle="1" w:styleId="56">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7">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character" w:customStyle="1" w:styleId="58">
    <w:name w:val="正文文本缩进 字符"/>
    <w:link w:val="15"/>
    <w:qFormat/>
    <w:uiPriority w:val="0"/>
    <w:rPr>
      <w:kern w:val="2"/>
      <w:sz w:val="21"/>
      <w:szCs w:val="24"/>
    </w:rPr>
  </w:style>
  <w:style w:type="character" w:customStyle="1" w:styleId="59">
    <w:name w:val="正文文本缩进 Char1"/>
    <w:basedOn w:val="27"/>
    <w:semiHidden/>
    <w:qFormat/>
    <w:uiPriority w:val="99"/>
    <w:rPr>
      <w:kern w:val="2"/>
      <w:sz w:val="21"/>
      <w:szCs w:val="24"/>
    </w:rPr>
  </w:style>
  <w:style w:type="paragraph" w:customStyle="1" w:styleId="60">
    <w:name w:val="正文文本缩进 21"/>
    <w:basedOn w:val="1"/>
    <w:qFormat/>
    <w:uiPriority w:val="0"/>
    <w:pPr>
      <w:adjustRightInd w:val="0"/>
      <w:snapToGrid w:val="0"/>
      <w:spacing w:after="120" w:line="480" w:lineRule="auto"/>
      <w:ind w:left="420" w:leftChars="200"/>
    </w:pPr>
  </w:style>
  <w:style w:type="paragraph" w:customStyle="1" w:styleId="61">
    <w:name w:val="font6"/>
    <w:basedOn w:val="1"/>
    <w:qFormat/>
    <w:uiPriority w:val="0"/>
    <w:pPr>
      <w:widowControl/>
      <w:numPr>
        <w:ilvl w:val="0"/>
        <w:numId w:val="5"/>
      </w:numPr>
      <w:spacing w:before="100" w:beforeAutospacing="1" w:after="100" w:afterAutospacing="1"/>
      <w:jc w:val="left"/>
    </w:pPr>
    <w:rPr>
      <w:rFonts w:ascii="宋体" w:hAnsi="宋体" w:cs="宋体"/>
      <w:color w:val="000000"/>
      <w:kern w:val="0"/>
      <w:sz w:val="18"/>
      <w:szCs w:val="18"/>
    </w:rPr>
  </w:style>
  <w:style w:type="paragraph" w:customStyle="1" w:styleId="6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3">
    <w:name w:val="章标题"/>
    <w:next w:val="37"/>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64">
    <w:name w:val="段 Char Char"/>
    <w:basedOn w:val="27"/>
    <w:qFormat/>
    <w:uiPriority w:val="0"/>
    <w:rPr>
      <w:rFonts w:hint="eastAsia" w:ascii="宋体" w:hAnsi="宋体" w:eastAsia="宋体" w:cs="宋体"/>
      <w:sz w:val="21"/>
      <w:lang w:val="en-US" w:eastAsia="zh-CN"/>
    </w:rPr>
  </w:style>
  <w:style w:type="character" w:customStyle="1" w:styleId="65">
    <w:name w:val="标题 1 字符"/>
    <w:basedOn w:val="27"/>
    <w:link w:val="2"/>
    <w:qFormat/>
    <w:uiPriority w:val="0"/>
    <w:rPr>
      <w:rFonts w:ascii="Arial" w:hAnsi="Arial" w:eastAsia="黑体"/>
      <w:b/>
      <w:sz w:val="28"/>
      <w:szCs w:val="28"/>
    </w:rPr>
  </w:style>
  <w:style w:type="paragraph" w:customStyle="1" w:styleId="66">
    <w:name w:val="标准文件_段"/>
    <w:link w:val="6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7">
    <w:name w:val="标准文件_段 Char"/>
    <w:link w:val="66"/>
    <w:qFormat/>
    <w:uiPriority w:val="0"/>
    <w:rPr>
      <w:rFonts w:ascii="宋体"/>
      <w:sz w:val="21"/>
    </w:rPr>
  </w:style>
  <w:style w:type="paragraph" w:customStyle="1" w:styleId="68">
    <w:name w:val="标准文件_术语条一"/>
    <w:basedOn w:val="1"/>
    <w:next w:val="66"/>
    <w:qFormat/>
    <w:uiPriority w:val="0"/>
    <w:pPr>
      <w:widowControl/>
      <w:numPr>
        <w:ilvl w:val="2"/>
        <w:numId w:val="6"/>
      </w:numPr>
    </w:pPr>
    <w:rPr>
      <w:rFonts w:ascii="宋体"/>
      <w:kern w:val="0"/>
      <w:szCs w:val="20"/>
    </w:rPr>
  </w:style>
  <w:style w:type="paragraph" w:customStyle="1" w:styleId="69">
    <w:name w:val="标准文件_正文图标题"/>
    <w:next w:val="66"/>
    <w:qFormat/>
    <w:uiPriority w:val="0"/>
    <w:pPr>
      <w:numPr>
        <w:ilvl w:val="0"/>
        <w:numId w:val="6"/>
      </w:numPr>
      <w:spacing w:beforeLines="50" w:afterLines="50"/>
      <w:jc w:val="center"/>
    </w:pPr>
    <w:rPr>
      <w:rFonts w:ascii="黑体" w:hAnsi="Times New Roman" w:eastAsia="黑体" w:cs="Times New Roman"/>
      <w:sz w:val="21"/>
      <w:lang w:val="en-US" w:eastAsia="zh-CN" w:bidi="ar-SA"/>
    </w:rPr>
  </w:style>
  <w:style w:type="paragraph" w:customStyle="1" w:styleId="70">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71">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72">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73">
    <w:name w:val="标准文件_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北科金安</Company>
  <Pages>6</Pages>
  <Words>453</Words>
  <Characters>2584</Characters>
  <Lines>21</Lines>
  <Paragraphs>6</Paragraphs>
  <TotalTime>7</TotalTime>
  <ScaleCrop>false</ScaleCrop>
  <LinksUpToDate>false</LinksUpToDate>
  <CharactersWithSpaces>3031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2021-07-28T00:08:00Z</dcterms:created>
  <dc:creator>Administrator</dc:creator>
  <cp:lastModifiedBy>fengjing</cp:lastModifiedBy>
  <cp:lastPrinted>2016-04-28T23:24:00Z</cp:lastPrinted>
  <dcterms:modified xsi:type="dcterms:W3CDTF">2021-08-12T11:25:31Z</dcterms:modified>
  <dc:title>代码编制说明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出版商">
    <vt:lpwstr>王红艳</vt:lpwstr>
  </property>
  <property fmtid="{D5CDD505-2E9C-101B-9397-08002B2CF9AE}" pid="3" name="所有者">
    <vt:lpwstr>王红艳</vt:lpwstr>
  </property>
  <property fmtid="{D5CDD505-2E9C-101B-9397-08002B2CF9AE}" pid="4" name="KSOProductBuildVer">
    <vt:lpwstr>2052-11.8.2.9695</vt:lpwstr>
  </property>
</Properties>
</file>