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黑体" w:cs="Times New Roman"/>
          <w:spacing w:val="-12"/>
          <w:sz w:val="44"/>
          <w:szCs w:val="44"/>
        </w:rPr>
      </w:pPr>
      <w:r>
        <w:rPr>
          <w:rFonts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小标宋简体" w:cs="Times New Roman"/>
          <w:spacing w:val="-12"/>
          <w:sz w:val="44"/>
          <w:szCs w:val="44"/>
        </w:rPr>
      </w:pPr>
      <w:r>
        <w:rPr>
          <w:rFonts w:ascii="Times New Roman" w:hAnsi="Times New Roman" w:eastAsia="方正小标宋简体" w:cs="Times New Roman"/>
          <w:spacing w:val="-12"/>
          <w:sz w:val="44"/>
          <w:szCs w:val="44"/>
        </w:rPr>
        <w:t>部分不合格检验项目小知识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592" w:firstLineChars="200"/>
        <w:textAlignment w:val="auto"/>
        <w:rPr>
          <w:rFonts w:ascii="黑体" w:hAnsi="黑体" w:eastAsia="黑体"/>
          <w:spacing w:val="-12"/>
          <w:sz w:val="32"/>
          <w:szCs w:val="32"/>
        </w:rPr>
      </w:pPr>
      <w:r>
        <w:rPr>
          <w:rFonts w:hint="eastAsia" w:ascii="黑体" w:hAnsi="黑体" w:eastAsia="黑体"/>
          <w:spacing w:val="-12"/>
          <w:sz w:val="32"/>
          <w:szCs w:val="32"/>
        </w:rPr>
        <w:t>一、氧乐果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pacing w:val="-12"/>
          <w:sz w:val="32"/>
          <w:szCs w:val="32"/>
        </w:rPr>
      </w:pPr>
      <w:r>
        <w:rPr>
          <w:rFonts w:hint="eastAsia" w:ascii="仿宋_GB2312" w:eastAsia="仿宋_GB2312"/>
          <w:sz w:val="32"/>
          <w:szCs w:val="32"/>
        </w:rPr>
        <w:t>氧乐果是一种广谱高效的内吸性有机磷农药，有良好的触杀和胃毒作用，主要用于防治吮吸式口器害虫和植物性螨。少量的残留不会引起人体急性中毒，但长期食用氧乐果超标的食品，对人体健康可能有一定影响。</w:t>
      </w:r>
      <w:r>
        <w:rPr>
          <w:rFonts w:hint="eastAsia" w:ascii="Times New Roman" w:hAnsi="Times New Roman" w:eastAsia="仿宋_GB2312"/>
          <w:sz w:val="32"/>
          <w:szCs w:val="32"/>
        </w:rPr>
        <w:t>《食品安全国家标准 食品中农药最大残留限量》（GB 2763—2019）中规定，</w:t>
      </w:r>
      <w:r>
        <w:rPr>
          <w:rFonts w:hint="eastAsia" w:ascii="仿宋_GB2312" w:eastAsia="仿宋_GB2312"/>
          <w:sz w:val="32"/>
          <w:szCs w:val="32"/>
        </w:rPr>
        <w:t>氧乐果</w:t>
      </w:r>
      <w:r>
        <w:rPr>
          <w:rFonts w:hint="eastAsia" w:ascii="Times New Roman" w:hAnsi="Times New Roman" w:eastAsia="仿宋_GB2312"/>
          <w:sz w:val="32"/>
          <w:szCs w:val="32"/>
        </w:rPr>
        <w:t>在豆类蔬菜中的最大残留限量值为</w:t>
      </w:r>
      <w:r>
        <w:rPr>
          <w:rFonts w:ascii="Times New Roman" w:hAnsi="Times New Roman" w:eastAsia="仿宋_GB2312"/>
          <w:sz w:val="32"/>
          <w:szCs w:val="32"/>
        </w:rPr>
        <w:t>0.02</w:t>
      </w:r>
      <w:r>
        <w:rPr>
          <w:rFonts w:hint="eastAsia" w:ascii="Times New Roman" w:hAnsi="Times New Roman" w:eastAsia="仿宋_GB2312"/>
          <w:sz w:val="32"/>
          <w:szCs w:val="32"/>
        </w:rPr>
        <w:t>mg/kg。</w:t>
      </w:r>
      <w:r>
        <w:rPr>
          <w:rFonts w:hint="eastAsia" w:ascii="仿宋_GB2312" w:hAnsi="仿宋_GB2312" w:eastAsia="仿宋_GB2312" w:cs="仿宋_GB2312"/>
          <w:sz w:val="32"/>
          <w:szCs w:val="32"/>
        </w:rPr>
        <w:t>豇豆中氧乐果</w:t>
      </w:r>
      <w:r>
        <w:rPr>
          <w:rFonts w:hint="eastAsia" w:ascii="Times New Roman" w:hAnsi="Times New Roman" w:eastAsia="仿宋_GB2312"/>
          <w:sz w:val="32"/>
          <w:szCs w:val="32"/>
        </w:rPr>
        <w:t>残留量超标的原因，可能是为</w:t>
      </w:r>
      <w:r>
        <w:rPr>
          <w:rFonts w:ascii="Times New Roman" w:hAnsi="Times New Roman" w:eastAsia="仿宋_GB2312"/>
          <w:sz w:val="32"/>
          <w:szCs w:val="32"/>
        </w:rPr>
        <w:t>快速控制</w:t>
      </w:r>
      <w:r>
        <w:rPr>
          <w:rFonts w:hint="eastAsia" w:ascii="Times New Roman" w:hAnsi="Times New Roman" w:eastAsia="仿宋_GB2312"/>
          <w:sz w:val="32"/>
          <w:szCs w:val="32"/>
        </w:rPr>
        <w:t>虫害而违规使用</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592" w:firstLineChars="200"/>
        <w:textAlignment w:val="auto"/>
        <w:rPr>
          <w:rFonts w:ascii="黑体" w:hAnsi="黑体" w:eastAsia="黑体"/>
          <w:spacing w:val="-12"/>
          <w:sz w:val="32"/>
          <w:szCs w:val="32"/>
        </w:rPr>
      </w:pPr>
      <w:r>
        <w:rPr>
          <w:rFonts w:hint="eastAsia" w:ascii="黑体" w:hAnsi="黑体" w:eastAsia="黑体"/>
          <w:spacing w:val="-12"/>
          <w:sz w:val="32"/>
          <w:szCs w:val="32"/>
        </w:rPr>
        <w:t>二、噻虫胺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噻虫胺属新烟碱类杀虫剂，具有内吸性、触杀和胃毒作用，</w:t>
      </w:r>
      <w:r>
        <w:rPr>
          <w:rFonts w:ascii="Times New Roman" w:hAnsi="Times New Roman" w:eastAsia="仿宋_GB2312"/>
          <w:sz w:val="32"/>
          <w:szCs w:val="32"/>
        </w:rPr>
        <w:t>对</w:t>
      </w:r>
      <w:r>
        <w:rPr>
          <w:rFonts w:hint="eastAsia" w:ascii="Times New Roman" w:hAnsi="Times New Roman" w:eastAsia="仿宋_GB2312"/>
          <w:sz w:val="32"/>
          <w:szCs w:val="32"/>
        </w:rPr>
        <w:t>姜蛆等</w:t>
      </w:r>
      <w:r>
        <w:rPr>
          <w:rFonts w:hint="eastAsia" w:ascii="Times New Roman" w:hAnsi="Times New Roman" w:eastAsia="仿宋_GB2312"/>
          <w:color w:val="000000"/>
          <w:sz w:val="32"/>
          <w:szCs w:val="32"/>
        </w:rPr>
        <w:t>有较好防效</w:t>
      </w:r>
      <w:r>
        <w:rPr>
          <w:rFonts w:hint="eastAsia" w:ascii="Times New Roman" w:hAnsi="Times New Roman" w:eastAsia="仿宋_GB2312"/>
          <w:sz w:val="32"/>
          <w:szCs w:val="32"/>
        </w:rPr>
        <w:t>。少量的残留不会引起人体急性中毒，但长期食用噻虫胺超标的食品，对人体健康可能有一定影响。</w:t>
      </w:r>
      <w:r>
        <w:rPr>
          <w:rFonts w:ascii="Times New Roman" w:hAnsi="Times New Roman" w:eastAsia="仿宋_GB2312"/>
          <w:sz w:val="32"/>
          <w:szCs w:val="32"/>
        </w:rPr>
        <w:t>《食品安全国家标准</w:t>
      </w:r>
      <w:r>
        <w:rPr>
          <w:rFonts w:hint="eastAsia" w:ascii="Times New Roman" w:hAnsi="Times New Roman" w:eastAsia="仿宋_GB2312"/>
          <w:sz w:val="32"/>
          <w:szCs w:val="32"/>
        </w:rPr>
        <w:t xml:space="preserve"> </w:t>
      </w:r>
      <w:r>
        <w:rPr>
          <w:rFonts w:ascii="Times New Roman" w:hAnsi="Times New Roman" w:eastAsia="仿宋_GB2312"/>
          <w:sz w:val="32"/>
          <w:szCs w:val="32"/>
        </w:rPr>
        <w:t>食品中农药最大残留限量》（GB</w:t>
      </w:r>
      <w:r>
        <w:rPr>
          <w:rFonts w:hint="eastAsia" w:ascii="Times New Roman" w:hAnsi="Times New Roman" w:eastAsia="仿宋_GB2312"/>
          <w:sz w:val="32"/>
          <w:szCs w:val="32"/>
        </w:rPr>
        <w:t xml:space="preserve"> </w:t>
      </w:r>
      <w:r>
        <w:rPr>
          <w:rFonts w:ascii="Times New Roman" w:hAnsi="Times New Roman" w:eastAsia="仿宋_GB2312"/>
          <w:sz w:val="32"/>
          <w:szCs w:val="32"/>
        </w:rPr>
        <w:t>2763</w:t>
      </w:r>
      <w:r>
        <w:rPr>
          <w:rFonts w:hint="eastAsia" w:ascii="仿宋_GB2312" w:hAnsi="Times New Roman" w:eastAsia="仿宋_GB2312"/>
          <w:sz w:val="32"/>
          <w:szCs w:val="32"/>
        </w:rPr>
        <w:t>—</w:t>
      </w:r>
      <w:r>
        <w:rPr>
          <w:rFonts w:ascii="Times New Roman" w:hAnsi="Times New Roman" w:eastAsia="仿宋_GB2312"/>
          <w:sz w:val="32"/>
          <w:szCs w:val="32"/>
        </w:rPr>
        <w:t>2019）中规定，</w:t>
      </w:r>
      <w:r>
        <w:rPr>
          <w:rFonts w:hint="eastAsia" w:ascii="Times New Roman" w:hAnsi="Times New Roman" w:eastAsia="仿宋_GB2312"/>
          <w:sz w:val="32"/>
          <w:szCs w:val="32"/>
        </w:rPr>
        <w:t>噻虫胺在根茎类蔬菜中</w:t>
      </w:r>
      <w:r>
        <w:rPr>
          <w:rFonts w:ascii="Times New Roman" w:hAnsi="Times New Roman" w:eastAsia="仿宋_GB2312"/>
          <w:sz w:val="32"/>
          <w:szCs w:val="32"/>
        </w:rPr>
        <w:t>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为0.</w:t>
      </w:r>
      <w:r>
        <w:rPr>
          <w:rFonts w:hint="eastAsia" w:ascii="Times New Roman" w:hAnsi="Times New Roman" w:eastAsia="仿宋_GB2312"/>
          <w:sz w:val="32"/>
          <w:szCs w:val="32"/>
        </w:rPr>
        <w:t>2</w:t>
      </w:r>
      <w:r>
        <w:rPr>
          <w:rFonts w:ascii="Times New Roman" w:hAnsi="Times New Roman" w:eastAsia="仿宋_GB2312"/>
          <w:sz w:val="32"/>
          <w:szCs w:val="32"/>
        </w:rPr>
        <w:t>mg/kg。</w:t>
      </w:r>
      <w:r>
        <w:rPr>
          <w:rFonts w:hint="eastAsia" w:ascii="Times New Roman" w:hAnsi="Times New Roman" w:eastAsia="仿宋_GB2312"/>
          <w:sz w:val="32"/>
          <w:szCs w:val="32"/>
        </w:rPr>
        <w:t>姜</w:t>
      </w:r>
      <w:r>
        <w:rPr>
          <w:rFonts w:ascii="Times New Roman" w:hAnsi="Times New Roman" w:eastAsia="仿宋_GB2312"/>
          <w:sz w:val="32"/>
          <w:szCs w:val="32"/>
        </w:rPr>
        <w:t>中</w:t>
      </w:r>
      <w:r>
        <w:rPr>
          <w:rFonts w:hint="eastAsia" w:ascii="Times New Roman" w:hAnsi="Times New Roman" w:eastAsia="仿宋_GB2312"/>
          <w:sz w:val="32"/>
          <w:szCs w:val="32"/>
        </w:rPr>
        <w:t>噻虫胺残留量</w:t>
      </w:r>
      <w:r>
        <w:rPr>
          <w:rFonts w:ascii="Times New Roman" w:hAnsi="Times New Roman" w:eastAsia="仿宋_GB2312"/>
          <w:sz w:val="32"/>
          <w:szCs w:val="32"/>
        </w:rPr>
        <w:t>超标</w:t>
      </w:r>
      <w:r>
        <w:rPr>
          <w:rFonts w:hint="eastAsia" w:ascii="Times New Roman" w:hAnsi="Times New Roman" w:eastAsia="仿宋_GB2312"/>
          <w:sz w:val="32"/>
          <w:szCs w:val="32"/>
        </w:rPr>
        <w:t>的原因</w:t>
      </w:r>
      <w:r>
        <w:rPr>
          <w:rFonts w:ascii="Times New Roman" w:hAnsi="Times New Roman" w:eastAsia="仿宋_GB2312"/>
          <w:sz w:val="32"/>
          <w:szCs w:val="32"/>
        </w:rPr>
        <w:t>，</w:t>
      </w:r>
      <w:r>
        <w:rPr>
          <w:rFonts w:hint="eastAsia" w:ascii="Times New Roman" w:hAnsi="Times New Roman" w:eastAsia="仿宋_GB2312"/>
          <w:sz w:val="32"/>
          <w:szCs w:val="32"/>
        </w:rPr>
        <w:t>可能是为</w:t>
      </w:r>
      <w:r>
        <w:rPr>
          <w:rFonts w:ascii="Times New Roman" w:hAnsi="Times New Roman" w:eastAsia="仿宋_GB2312"/>
          <w:sz w:val="32"/>
          <w:szCs w:val="32"/>
        </w:rPr>
        <w:t>快速控制</w:t>
      </w:r>
      <w:r>
        <w:rPr>
          <w:rFonts w:hint="eastAsia" w:ascii="Times New Roman" w:hAnsi="Times New Roman" w:eastAsia="仿宋_GB2312"/>
          <w:sz w:val="32"/>
          <w:szCs w:val="32"/>
        </w:rPr>
        <w:t>虫害，</w:t>
      </w:r>
      <w:r>
        <w:rPr>
          <w:rFonts w:ascii="Times New Roman" w:hAnsi="Times New Roman" w:eastAsia="仿宋_GB2312"/>
          <w:sz w:val="32"/>
          <w:szCs w:val="32"/>
        </w:rPr>
        <w:t>加大用药量</w:t>
      </w:r>
      <w:r>
        <w:rPr>
          <w:rFonts w:hint="eastAsia" w:ascii="Times New Roman" w:hAnsi="Times New Roman" w:eastAsia="仿宋_GB2312"/>
          <w:sz w:val="32"/>
          <w:szCs w:val="32"/>
        </w:rPr>
        <w:t>或</w:t>
      </w:r>
      <w:r>
        <w:rPr>
          <w:rFonts w:ascii="Times New Roman" w:hAnsi="Times New Roman" w:eastAsia="仿宋_GB2312"/>
          <w:sz w:val="32"/>
          <w:szCs w:val="32"/>
        </w:rPr>
        <w:t>未遵守采摘间隔期</w:t>
      </w:r>
      <w:r>
        <w:rPr>
          <w:rFonts w:hint="eastAsia" w:ascii="Times New Roman" w:hAnsi="Times New Roman" w:eastAsia="仿宋_GB2312"/>
          <w:sz w:val="32"/>
          <w:szCs w:val="32"/>
        </w:rPr>
        <w:t>规定</w:t>
      </w:r>
      <w:r>
        <w:rPr>
          <w:rFonts w:ascii="Times New Roman" w:hAnsi="Times New Roman" w:eastAsia="仿宋_GB2312"/>
          <w:sz w:val="32"/>
          <w:szCs w:val="32"/>
        </w:rPr>
        <w:t>，致使上市销售</w:t>
      </w:r>
      <w:r>
        <w:rPr>
          <w:rFonts w:hint="eastAsia" w:ascii="Times New Roman" w:hAnsi="Times New Roman" w:eastAsia="仿宋_GB2312"/>
          <w:sz w:val="32"/>
          <w:szCs w:val="32"/>
        </w:rPr>
        <w:t>的产品中残留量超标</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592" w:firstLineChars="200"/>
        <w:textAlignment w:val="auto"/>
        <w:rPr>
          <w:rFonts w:ascii="黑体" w:hAnsi="黑体" w:eastAsia="黑体"/>
          <w:spacing w:val="-12"/>
          <w:sz w:val="32"/>
          <w:szCs w:val="32"/>
        </w:rPr>
      </w:pPr>
      <w:r>
        <w:rPr>
          <w:rFonts w:hint="eastAsia" w:ascii="黑体" w:hAnsi="黑体" w:eastAsia="黑体"/>
          <w:spacing w:val="-12"/>
          <w:sz w:val="32"/>
          <w:szCs w:val="32"/>
        </w:rPr>
        <w:t>三、铅（以Pb计）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pacing w:val="-12"/>
          <w:sz w:val="32"/>
          <w:szCs w:val="32"/>
        </w:rPr>
      </w:pPr>
      <w:r>
        <w:rPr>
          <w:rFonts w:hint="eastAsia" w:ascii="仿宋_GB2312" w:eastAsia="仿宋_GB2312"/>
          <w:sz w:val="32"/>
          <w:szCs w:val="32"/>
        </w:rPr>
        <w:t>铅是一种常见的重金属元素污染物，会严重危害人体健康。长期食用铅超标的食品，可能会对人体的血液系统、神经系统产生损害，尤其对儿童生长和智力发育的影响较大。《食品安全国家标准 食品中污染物限量》（</w:t>
      </w:r>
      <w:r>
        <w:rPr>
          <w:rFonts w:hint="eastAsia" w:ascii="Times New Roman" w:hAnsi="Times New Roman" w:eastAsia="仿宋_GB2312"/>
          <w:sz w:val="32"/>
          <w:szCs w:val="32"/>
        </w:rPr>
        <w:t>GB 2762—2017）</w:t>
      </w:r>
      <w:r>
        <w:rPr>
          <w:rFonts w:hint="eastAsia" w:ascii="Times New Roman" w:hAnsi="Times New Roman" w:eastAsia="仿宋_GB2312" w:cs="Times New Roman"/>
          <w:sz w:val="32"/>
          <w:szCs w:val="32"/>
        </w:rPr>
        <w:t>中规定，铅（以Pb计）在新鲜蔬菜</w:t>
      </w:r>
      <w:r>
        <w:rPr>
          <w:rFonts w:hint="eastAsia" w:ascii="仿宋_GB2312" w:eastAsia="仿宋_GB2312"/>
          <w:sz w:val="32"/>
          <w:szCs w:val="32"/>
        </w:rPr>
        <w:t>（芸薹类蔬菜、叶菜蔬菜</w:t>
      </w:r>
      <w:r>
        <w:rPr>
          <w:rFonts w:hint="eastAsia" w:ascii="Times New Roman" w:hAnsi="Times New Roman" w:eastAsia="仿宋_GB2312"/>
          <w:sz w:val="32"/>
          <w:szCs w:val="32"/>
        </w:rPr>
        <w:t>、豆类蔬菜、薯类除外）中的</w:t>
      </w:r>
      <w:r>
        <w:rPr>
          <w:rFonts w:hint="eastAsia" w:ascii="仿宋_GB2312" w:eastAsia="仿宋_GB2312"/>
          <w:sz w:val="32"/>
          <w:szCs w:val="32"/>
        </w:rPr>
        <w:t>限量值</w:t>
      </w:r>
      <w:r>
        <w:rPr>
          <w:rFonts w:hint="eastAsia" w:ascii="Times New Roman" w:hAnsi="Times New Roman" w:eastAsia="仿宋_GB2312"/>
          <w:sz w:val="32"/>
          <w:szCs w:val="32"/>
        </w:rPr>
        <w:t>为0.1mg/kg</w:t>
      </w:r>
      <w:r>
        <w:rPr>
          <w:rFonts w:hint="eastAsia" w:ascii="Times New Roman" w:hAnsi="Times New Roman" w:eastAsia="仿宋_GB2312" w:cs="仿宋_GB2312"/>
          <w:sz w:val="32"/>
          <w:szCs w:val="32"/>
        </w:rPr>
        <w:t>，干制品中污染物限量以相应新鲜食品中污染物限量结合其脱水率或浓缩率折算。</w:t>
      </w:r>
      <w:r>
        <w:rPr>
          <w:rFonts w:hint="eastAsia" w:ascii="Times New Roman" w:hAnsi="Times New Roman" w:eastAsia="仿宋_GB2312"/>
          <w:sz w:val="32"/>
          <w:szCs w:val="32"/>
        </w:rPr>
        <w:t>姜中铅（以Pb计）检测值超标的原因，可能是在其生长过程中富集了环境中的铅。</w:t>
      </w:r>
      <w:r>
        <w:rPr>
          <w:rFonts w:ascii="Times New Roman" w:hAnsi="仿宋_GB2312" w:eastAsia="仿宋_GB2312" w:cs="Times New Roman"/>
          <w:sz w:val="32"/>
          <w:szCs w:val="32"/>
        </w:rPr>
        <w:t>蔬菜干制品</w:t>
      </w:r>
      <w:r>
        <w:rPr>
          <w:rFonts w:ascii="Times New Roman" w:hAnsi="Times New Roman" w:eastAsia="仿宋_GB2312" w:cs="Times New Roman"/>
          <w:sz w:val="32"/>
          <w:szCs w:val="32"/>
        </w:rPr>
        <w:t>中铅（以Pb计）检测值</w:t>
      </w:r>
      <w:r>
        <w:rPr>
          <w:rFonts w:hint="eastAsia" w:ascii="Times New Roman" w:hAnsi="Times New Roman" w:eastAsia="仿宋_GB2312" w:cs="Times New Roman"/>
          <w:sz w:val="32"/>
          <w:szCs w:val="32"/>
          <w:lang w:eastAsia="zh-CN"/>
        </w:rPr>
        <w:t>超标</w:t>
      </w:r>
      <w:r>
        <w:rPr>
          <w:rFonts w:hint="eastAsia" w:ascii="Times New Roman" w:hAnsi="Times New Roman" w:eastAsia="仿宋_GB2312" w:cs="Times New Roman"/>
          <w:sz w:val="32"/>
          <w:szCs w:val="32"/>
        </w:rPr>
        <w:t>的原因</w:t>
      </w:r>
      <w:r>
        <w:rPr>
          <w:rFonts w:ascii="Times New Roman" w:hAnsi="Times New Roman" w:eastAsia="仿宋_GB2312" w:cs="Times New Roman"/>
          <w:sz w:val="32"/>
          <w:szCs w:val="32"/>
        </w:rPr>
        <w:t>，可能是生产企业使用的蔬菜原料中铅含量超标，也可能是生产设备或包装材料中的铅迁移带入。</w:t>
      </w:r>
    </w:p>
    <w:p>
      <w:pPr>
        <w:keepNext w:val="0"/>
        <w:keepLines w:val="0"/>
        <w:pageBreakBefore w:val="0"/>
        <w:widowControl w:val="0"/>
        <w:kinsoku/>
        <w:wordWrap/>
        <w:overflowPunct/>
        <w:topLinePunct w:val="0"/>
        <w:autoSpaceDE/>
        <w:autoSpaceDN/>
        <w:bidi w:val="0"/>
        <w:adjustRightInd/>
        <w:snapToGrid/>
        <w:spacing w:line="580" w:lineRule="exact"/>
        <w:ind w:firstLine="592" w:firstLineChars="200"/>
        <w:textAlignment w:val="auto"/>
        <w:rPr>
          <w:rFonts w:ascii="黑体" w:hAnsi="黑体" w:eastAsia="黑体"/>
          <w:spacing w:val="-12"/>
          <w:sz w:val="32"/>
          <w:szCs w:val="32"/>
        </w:rPr>
      </w:pPr>
      <w:r>
        <w:rPr>
          <w:rFonts w:hint="eastAsia" w:ascii="黑体" w:hAnsi="黑体" w:eastAsia="黑体"/>
          <w:spacing w:val="-12"/>
          <w:sz w:val="32"/>
          <w:szCs w:val="32"/>
        </w:rPr>
        <w:t>四、铝的残留量（干样品，以</w:t>
      </w:r>
      <w:r>
        <w:rPr>
          <w:rFonts w:ascii="黑体" w:hAnsi="黑体" w:eastAsia="黑体"/>
          <w:spacing w:val="-12"/>
          <w:sz w:val="32"/>
          <w:szCs w:val="32"/>
        </w:rPr>
        <w:t>Al计）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仿宋_GB2312"/>
          <w:spacing w:val="-12"/>
          <w:sz w:val="32"/>
          <w:szCs w:val="32"/>
          <w:lang w:eastAsia="zh-CN"/>
        </w:rPr>
      </w:pPr>
      <w:r>
        <w:rPr>
          <w:rFonts w:ascii="Times New Roman" w:hAnsi="Times New Roman" w:eastAsia="仿宋_GB2312"/>
          <w:sz w:val="32"/>
          <w:szCs w:val="32"/>
        </w:rPr>
        <w:t>含铝食品添加剂，比如硫酸铝钾（又名钾明矾）、硫酸铝铵（又名铵明矾）等，在食品中作为膨松剂、稳定剂使用，使用后会产生铝残留。含铝食品添加剂按标准使用不会对健康造成危害</w:t>
      </w:r>
      <w:r>
        <w:rPr>
          <w:rFonts w:hint="eastAsia" w:ascii="Times New Roman" w:hAnsi="Times New Roman" w:eastAsia="仿宋_GB2312"/>
          <w:sz w:val="32"/>
          <w:szCs w:val="32"/>
        </w:rPr>
        <w:t>，</w:t>
      </w:r>
      <w:r>
        <w:rPr>
          <w:rFonts w:ascii="Times New Roman" w:hAnsi="Times New Roman" w:eastAsia="仿宋_GB2312"/>
          <w:sz w:val="32"/>
          <w:szCs w:val="32"/>
        </w:rPr>
        <w:t>但长期食用铝超标的食品会导致运动和学习记忆能力下降</w:t>
      </w:r>
      <w:r>
        <w:rPr>
          <w:rFonts w:hint="eastAsia" w:ascii="Times New Roman" w:hAnsi="Times New Roman" w:eastAsia="仿宋_GB2312"/>
          <w:sz w:val="32"/>
          <w:szCs w:val="32"/>
        </w:rPr>
        <w:t>，</w:t>
      </w:r>
      <w:r>
        <w:rPr>
          <w:rFonts w:ascii="Times New Roman" w:hAnsi="Times New Roman" w:eastAsia="仿宋_GB2312"/>
          <w:sz w:val="32"/>
          <w:szCs w:val="32"/>
        </w:rPr>
        <w:t>影响儿童智力发育</w:t>
      </w:r>
      <w:r>
        <w:rPr>
          <w:rFonts w:hint="eastAsia" w:ascii="Times New Roman" w:hAnsi="Times New Roman" w:eastAsia="仿宋_GB2312"/>
          <w:sz w:val="32"/>
          <w:szCs w:val="32"/>
        </w:rPr>
        <w:t>。</w:t>
      </w:r>
      <w:r>
        <w:rPr>
          <w:rFonts w:eastAsia="仿宋_GB2312"/>
          <w:sz w:val="32"/>
          <w:szCs w:val="32"/>
        </w:rPr>
        <w:t>《食品安全国家标准</w:t>
      </w:r>
      <w:r>
        <w:rPr>
          <w:rFonts w:hint="eastAsia" w:eastAsia="仿宋_GB2312"/>
          <w:sz w:val="32"/>
          <w:szCs w:val="32"/>
        </w:rPr>
        <w:t xml:space="preserve"> </w:t>
      </w:r>
      <w:r>
        <w:rPr>
          <w:rFonts w:eastAsia="仿宋_GB2312"/>
          <w:sz w:val="32"/>
          <w:szCs w:val="32"/>
        </w:rPr>
        <w:t>食</w:t>
      </w:r>
      <w:r>
        <w:rPr>
          <w:rFonts w:hint="eastAsia" w:eastAsia="仿宋_GB2312"/>
          <w:sz w:val="32"/>
          <w:szCs w:val="32"/>
        </w:rPr>
        <w:t>品</w:t>
      </w:r>
      <w:r>
        <w:rPr>
          <w:rFonts w:eastAsia="仿宋_GB2312"/>
          <w:sz w:val="32"/>
          <w:szCs w:val="32"/>
        </w:rPr>
        <w:t>添加剂使用标准》（</w:t>
      </w:r>
      <w:r>
        <w:rPr>
          <w:rFonts w:ascii="Times New Roman" w:hAnsi="Times New Roman" w:eastAsia="仿宋_GB2312"/>
          <w:sz w:val="32"/>
          <w:szCs w:val="32"/>
        </w:rPr>
        <w:t>GB 2760</w:t>
      </w:r>
      <w:r>
        <w:rPr>
          <w:rFonts w:hint="eastAsia" w:eastAsia="仿宋_GB2312"/>
          <w:sz w:val="32"/>
          <w:szCs w:val="32"/>
        </w:rPr>
        <w:t>—</w:t>
      </w:r>
      <w:r>
        <w:rPr>
          <w:rFonts w:ascii="Times New Roman" w:hAnsi="Times New Roman" w:eastAsia="仿宋_GB2312"/>
          <w:sz w:val="32"/>
          <w:szCs w:val="32"/>
        </w:rPr>
        <w:t>2014</w:t>
      </w:r>
      <w:r>
        <w:rPr>
          <w:rFonts w:eastAsia="仿宋_GB2312"/>
          <w:sz w:val="32"/>
          <w:szCs w:val="32"/>
        </w:rPr>
        <w:t>）中规定</w:t>
      </w:r>
      <w:r>
        <w:rPr>
          <w:rFonts w:hint="eastAsia" w:eastAsia="仿宋_GB2312"/>
          <w:sz w:val="32"/>
          <w:szCs w:val="32"/>
        </w:rPr>
        <w:t>，</w:t>
      </w:r>
      <w:r>
        <w:rPr>
          <w:rFonts w:hint="eastAsia" w:ascii="Times New Roman" w:hAnsi="Times New Roman" w:eastAsia="仿宋_GB2312" w:cs="Times New Roman"/>
          <w:sz w:val="32"/>
          <w:szCs w:val="32"/>
        </w:rPr>
        <w:t>油炸面制品</w:t>
      </w:r>
      <w:r>
        <w:rPr>
          <w:rFonts w:eastAsia="仿宋_GB2312"/>
          <w:sz w:val="32"/>
          <w:szCs w:val="32"/>
        </w:rPr>
        <w:t>中铝的最大残留限量</w:t>
      </w:r>
      <w:r>
        <w:rPr>
          <w:rFonts w:hint="eastAsia" w:eastAsia="仿宋_GB2312"/>
          <w:sz w:val="32"/>
          <w:szCs w:val="32"/>
        </w:rPr>
        <w:t>值</w:t>
      </w:r>
      <w:r>
        <w:rPr>
          <w:rFonts w:eastAsia="仿宋_GB2312"/>
          <w:sz w:val="32"/>
          <w:szCs w:val="32"/>
        </w:rPr>
        <w:t>为</w:t>
      </w:r>
      <w:r>
        <w:rPr>
          <w:rFonts w:ascii="Times New Roman" w:hAnsi="Times New Roman" w:eastAsia="仿宋_GB2312"/>
          <w:sz w:val="32"/>
          <w:szCs w:val="32"/>
        </w:rPr>
        <w:t>100mg/kg</w:t>
      </w:r>
      <w:r>
        <w:rPr>
          <w:rFonts w:eastAsia="仿宋_GB2312"/>
          <w:sz w:val="32"/>
          <w:szCs w:val="32"/>
        </w:rPr>
        <w:t>。</w:t>
      </w:r>
      <w:r>
        <w:rPr>
          <w:rFonts w:hint="eastAsia" w:ascii="Times New Roman" w:hAnsi="Times New Roman" w:eastAsia="仿宋_GB2312" w:cs="Times New Roman"/>
          <w:sz w:val="32"/>
          <w:szCs w:val="32"/>
        </w:rPr>
        <w:t>油炸面制品</w:t>
      </w:r>
      <w:r>
        <w:rPr>
          <w:rFonts w:hint="eastAsia" w:eastAsia="仿宋_GB2312"/>
          <w:sz w:val="32"/>
          <w:szCs w:val="32"/>
        </w:rPr>
        <w:t>中</w:t>
      </w:r>
      <w:r>
        <w:rPr>
          <w:rFonts w:eastAsia="仿宋_GB2312"/>
          <w:sz w:val="32"/>
          <w:szCs w:val="32"/>
        </w:rPr>
        <w:t>铝的残留量</w:t>
      </w:r>
      <w:r>
        <w:rPr>
          <w:rFonts w:hint="eastAsia" w:eastAsia="仿宋_GB2312"/>
          <w:sz w:val="32"/>
          <w:szCs w:val="32"/>
        </w:rPr>
        <w:t>（干样品，以</w:t>
      </w:r>
      <w:r>
        <w:rPr>
          <w:rFonts w:ascii="Times New Roman" w:hAnsi="Times New Roman" w:eastAsia="仿宋_GB2312"/>
          <w:sz w:val="32"/>
          <w:szCs w:val="32"/>
        </w:rPr>
        <w:t>Al</w:t>
      </w:r>
      <w:r>
        <w:rPr>
          <w:rFonts w:hint="eastAsia" w:eastAsia="仿宋_GB2312"/>
          <w:sz w:val="32"/>
          <w:szCs w:val="32"/>
        </w:rPr>
        <w:t>计）</w:t>
      </w:r>
      <w:r>
        <w:rPr>
          <w:rFonts w:hint="eastAsia" w:eastAsia="仿宋_GB2312"/>
          <w:sz w:val="32"/>
          <w:szCs w:val="32"/>
          <w:lang w:eastAsia="zh-CN"/>
        </w:rPr>
        <w:t>超标</w:t>
      </w:r>
      <w:r>
        <w:rPr>
          <w:rFonts w:hint="eastAsia" w:eastAsia="仿宋_GB2312"/>
          <w:sz w:val="32"/>
          <w:szCs w:val="32"/>
        </w:rPr>
        <w:t>的原因，可能是个别企业为增加产品口感，在生产加工过程中超限量使用含铝添加剂</w:t>
      </w:r>
      <w:r>
        <w:rPr>
          <w:rFonts w:hint="eastAsia" w:eastAsia="仿宋_GB2312"/>
          <w:sz w:val="32"/>
          <w:szCs w:val="32"/>
          <w:lang w:eastAsia="zh-CN"/>
        </w:rPr>
        <w:t>，也可能是</w:t>
      </w:r>
      <w:r>
        <w:rPr>
          <w:rFonts w:ascii="Times New Roman" w:hAnsi="Times New Roman" w:eastAsia="仿宋_GB2312" w:cs="Times New Roman"/>
          <w:sz w:val="32"/>
          <w:szCs w:val="32"/>
          <w:highlight w:val="none"/>
        </w:rPr>
        <w:t>企业在生产加工过程中</w:t>
      </w:r>
      <w:r>
        <w:rPr>
          <w:rFonts w:hint="eastAsia" w:ascii="Times New Roman" w:hAnsi="Times New Roman" w:eastAsia="仿宋_GB2312" w:cs="Times New Roman"/>
          <w:sz w:val="32"/>
          <w:szCs w:val="32"/>
          <w:highlight w:val="none"/>
        </w:rPr>
        <w:t>未控制好</w:t>
      </w:r>
      <w:r>
        <w:rPr>
          <w:rFonts w:ascii="Times New Roman" w:hAnsi="Times New Roman" w:eastAsia="仿宋_GB2312" w:cs="Times New Roman"/>
          <w:sz w:val="32"/>
          <w:szCs w:val="32"/>
          <w:highlight w:val="none"/>
        </w:rPr>
        <w:t>含铝食品添加剂</w:t>
      </w:r>
      <w:r>
        <w:rPr>
          <w:rFonts w:hint="eastAsia" w:ascii="Times New Roman" w:hAnsi="Times New Roman" w:eastAsia="仿宋_GB2312" w:cs="Times New Roman"/>
          <w:sz w:val="32"/>
          <w:szCs w:val="32"/>
          <w:highlight w:val="none"/>
        </w:rPr>
        <w:t>的使用量</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92" w:firstLineChars="200"/>
        <w:textAlignment w:val="auto"/>
        <w:rPr>
          <w:rFonts w:ascii="黑体" w:hAnsi="黑体" w:eastAsia="黑体"/>
          <w:spacing w:val="-12"/>
          <w:sz w:val="32"/>
          <w:szCs w:val="32"/>
        </w:rPr>
      </w:pPr>
      <w:r>
        <w:rPr>
          <w:rFonts w:hint="eastAsia" w:ascii="黑体" w:hAnsi="黑体" w:eastAsia="黑体"/>
          <w:spacing w:val="-12"/>
          <w:sz w:val="32"/>
          <w:szCs w:val="32"/>
        </w:rPr>
        <w:t>五、过氧化值（以脂肪计）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2"/>
        </w:rPr>
      </w:pPr>
      <w:r>
        <w:rPr>
          <w:rFonts w:ascii="Times New Roman" w:hAnsi="Times New Roman" w:eastAsia="仿宋_GB2312"/>
          <w:sz w:val="32"/>
          <w:szCs w:val="32"/>
        </w:rPr>
        <w:t>过氧化值是油脂酸败的早期指标</w:t>
      </w:r>
      <w:r>
        <w:rPr>
          <w:rFonts w:hint="eastAsia" w:ascii="Times New Roman" w:hAnsi="Times New Roman" w:eastAsia="仿宋_GB2312"/>
          <w:sz w:val="32"/>
          <w:szCs w:val="32"/>
        </w:rPr>
        <w:t>，主要反映油脂被氧化的程度</w:t>
      </w:r>
      <w:r>
        <w:rPr>
          <w:rFonts w:ascii="Times New Roman" w:hAnsi="Times New Roman" w:eastAsia="仿宋_GB2312"/>
          <w:sz w:val="32"/>
          <w:szCs w:val="32"/>
        </w:rPr>
        <w:t>。</w:t>
      </w:r>
      <w:r>
        <w:rPr>
          <w:rFonts w:hint="eastAsia" w:ascii="Times New Roman" w:hAnsi="Times New Roman" w:eastAsia="仿宋_GB2312"/>
          <w:sz w:val="32"/>
          <w:szCs w:val="32"/>
        </w:rPr>
        <w:t>食用过氧化值超标的食品</w:t>
      </w:r>
      <w:r>
        <w:rPr>
          <w:rFonts w:ascii="Times New Roman" w:hAnsi="Times New Roman" w:eastAsia="仿宋_GB2312"/>
          <w:sz w:val="32"/>
          <w:szCs w:val="32"/>
        </w:rPr>
        <w:t>一般不会对人体</w:t>
      </w:r>
      <w:r>
        <w:rPr>
          <w:rFonts w:hint="eastAsia" w:ascii="Times New Roman" w:hAnsi="Times New Roman" w:eastAsia="仿宋_GB2312"/>
          <w:sz w:val="32"/>
          <w:szCs w:val="32"/>
        </w:rPr>
        <w:t>健康造成</w:t>
      </w:r>
      <w:r>
        <w:rPr>
          <w:rFonts w:ascii="Times New Roman" w:hAnsi="Times New Roman" w:eastAsia="仿宋_GB2312"/>
          <w:sz w:val="32"/>
          <w:szCs w:val="32"/>
        </w:rPr>
        <w:t>损害，但</w:t>
      </w:r>
      <w:r>
        <w:rPr>
          <w:rFonts w:hint="eastAsia" w:ascii="Times New Roman" w:hAnsi="Times New Roman" w:eastAsia="仿宋_GB2312"/>
          <w:sz w:val="32"/>
          <w:szCs w:val="32"/>
        </w:rPr>
        <w:t>长期</w:t>
      </w:r>
      <w:r>
        <w:rPr>
          <w:rFonts w:ascii="Times New Roman" w:hAnsi="Times New Roman" w:eastAsia="仿宋_GB2312"/>
          <w:sz w:val="32"/>
          <w:szCs w:val="32"/>
        </w:rPr>
        <w:t>食用过氧化值严重超标</w:t>
      </w:r>
      <w:r>
        <w:rPr>
          <w:rFonts w:hint="eastAsia" w:ascii="Times New Roman" w:hAnsi="Times New Roman" w:eastAsia="仿宋_GB2312"/>
          <w:sz w:val="32"/>
          <w:szCs w:val="32"/>
        </w:rPr>
        <w:t>的</w:t>
      </w:r>
      <w:r>
        <w:rPr>
          <w:rFonts w:ascii="Times New Roman" w:hAnsi="Times New Roman" w:eastAsia="仿宋_GB2312"/>
          <w:sz w:val="32"/>
          <w:szCs w:val="32"/>
        </w:rPr>
        <w:t>食品可能导致肠胃不适、腹泻等。</w:t>
      </w:r>
      <w:r>
        <w:rPr>
          <w:rFonts w:hint="eastAsia" w:ascii="Times New Roman" w:hAnsi="Times New Roman" w:eastAsia="仿宋_GB2312"/>
          <w:sz w:val="32"/>
          <w:szCs w:val="32"/>
        </w:rPr>
        <w:t>《食品安全国家标准 饼干》</w:t>
      </w:r>
      <w:r>
        <w:rPr>
          <w:rFonts w:hint="eastAsia" w:eastAsia="仿宋_GB2312"/>
          <w:sz w:val="32"/>
          <w:szCs w:val="32"/>
        </w:rPr>
        <w:t>（</w:t>
      </w:r>
      <w:r>
        <w:rPr>
          <w:rFonts w:hint="eastAsia" w:ascii="Times New Roman" w:hAnsi="Times New Roman" w:eastAsia="仿宋_GB2312"/>
          <w:sz w:val="32"/>
          <w:szCs w:val="32"/>
        </w:rPr>
        <w:t>GB 7100</w:t>
      </w:r>
      <w:r>
        <w:rPr>
          <w:rFonts w:hint="eastAsia" w:eastAsia="仿宋_GB2312"/>
          <w:sz w:val="32"/>
          <w:szCs w:val="32"/>
        </w:rPr>
        <w:t>—</w:t>
      </w:r>
      <w:r>
        <w:rPr>
          <w:rFonts w:hint="eastAsia" w:ascii="Times New Roman" w:hAnsi="Times New Roman" w:eastAsia="仿宋_GB2312"/>
          <w:sz w:val="32"/>
          <w:szCs w:val="32"/>
        </w:rPr>
        <w:t>2015</w:t>
      </w:r>
      <w:r>
        <w:rPr>
          <w:rFonts w:hint="eastAsia" w:eastAsia="仿宋_GB2312"/>
          <w:sz w:val="32"/>
          <w:szCs w:val="32"/>
        </w:rPr>
        <w:t>）</w:t>
      </w:r>
      <w:r>
        <w:rPr>
          <w:rFonts w:hint="eastAsia" w:ascii="Times New Roman" w:hAnsi="Times New Roman" w:eastAsia="仿宋_GB2312"/>
          <w:sz w:val="32"/>
          <w:szCs w:val="32"/>
        </w:rPr>
        <w:t>中规定，饼干中过氧化值（以脂肪计</w:t>
      </w:r>
      <w:r>
        <w:rPr>
          <w:rFonts w:hint="eastAsia" w:eastAsia="仿宋_GB2312"/>
          <w:sz w:val="32"/>
          <w:szCs w:val="32"/>
        </w:rPr>
        <w:t>）的</w:t>
      </w:r>
      <w:r>
        <w:rPr>
          <w:rFonts w:ascii="Times New Roman" w:hAnsi="Times New Roman" w:eastAsia="仿宋_GB2312"/>
          <w:sz w:val="32"/>
          <w:szCs w:val="32"/>
        </w:rPr>
        <w:t>最大限量值为</w:t>
      </w:r>
      <w:r>
        <w:rPr>
          <w:rFonts w:hint="eastAsia" w:ascii="Times New Roman" w:hAnsi="Times New Roman" w:eastAsia="仿宋_GB2312"/>
          <w:sz w:val="32"/>
          <w:szCs w:val="32"/>
        </w:rPr>
        <w:t>0.25g/100g。饼干中过氧化值（以脂肪计</w:t>
      </w:r>
      <w:r>
        <w:rPr>
          <w:rFonts w:hint="eastAsia" w:eastAsia="仿宋_GB2312"/>
          <w:sz w:val="32"/>
          <w:szCs w:val="32"/>
        </w:rPr>
        <w:t>）</w:t>
      </w:r>
      <w:r>
        <w:rPr>
          <w:rFonts w:hint="eastAsia" w:ascii="Times New Roman" w:hAnsi="Times New Roman" w:eastAsia="仿宋_GB2312"/>
          <w:sz w:val="32"/>
          <w:szCs w:val="32"/>
        </w:rPr>
        <w:t>检测值</w:t>
      </w:r>
      <w:r>
        <w:rPr>
          <w:rFonts w:hint="eastAsia" w:ascii="Times New Roman" w:hAnsi="Times New Roman" w:eastAsia="仿宋_GB2312"/>
          <w:sz w:val="32"/>
          <w:szCs w:val="32"/>
          <w:lang w:eastAsia="zh-CN"/>
        </w:rPr>
        <w:t>超标</w:t>
      </w:r>
      <w:r>
        <w:rPr>
          <w:rFonts w:hint="eastAsia" w:ascii="Times New Roman" w:hAnsi="Times New Roman" w:eastAsia="仿宋_GB2312"/>
          <w:sz w:val="32"/>
          <w:szCs w:val="32"/>
        </w:rPr>
        <w:t>的原因，可能是原料中的脂肪已经被氧化，也可能与产品在储运过程中环境条件控制不当等有关。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kern w:val="0"/>
          <w:sz w:val="32"/>
          <w:szCs w:val="32"/>
        </w:rPr>
      </w:pPr>
      <w:bookmarkStart w:id="0" w:name="_GoBack"/>
      <w:bookmarkEnd w:id="0"/>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3</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52446EE"/>
    <w:rsid w:val="00005B8D"/>
    <w:rsid w:val="00020497"/>
    <w:rsid w:val="00024C6D"/>
    <w:rsid w:val="00043432"/>
    <w:rsid w:val="0004375C"/>
    <w:rsid w:val="00043867"/>
    <w:rsid w:val="00083C9A"/>
    <w:rsid w:val="000A1FB4"/>
    <w:rsid w:val="000B4026"/>
    <w:rsid w:val="000B4DAD"/>
    <w:rsid w:val="000C502F"/>
    <w:rsid w:val="000C6083"/>
    <w:rsid w:val="000D1C58"/>
    <w:rsid w:val="000D34F7"/>
    <w:rsid w:val="000F5985"/>
    <w:rsid w:val="000F7117"/>
    <w:rsid w:val="0010216A"/>
    <w:rsid w:val="00107958"/>
    <w:rsid w:val="00110259"/>
    <w:rsid w:val="0012171A"/>
    <w:rsid w:val="001220AD"/>
    <w:rsid w:val="00126F3B"/>
    <w:rsid w:val="00131A76"/>
    <w:rsid w:val="0013226B"/>
    <w:rsid w:val="0015275C"/>
    <w:rsid w:val="001727C1"/>
    <w:rsid w:val="00177381"/>
    <w:rsid w:val="0019592F"/>
    <w:rsid w:val="001C1A51"/>
    <w:rsid w:val="001C4350"/>
    <w:rsid w:val="001D168E"/>
    <w:rsid w:val="001D3191"/>
    <w:rsid w:val="001E3878"/>
    <w:rsid w:val="001E40B2"/>
    <w:rsid w:val="001F4428"/>
    <w:rsid w:val="001F5BDC"/>
    <w:rsid w:val="0024004A"/>
    <w:rsid w:val="00242E9A"/>
    <w:rsid w:val="00244971"/>
    <w:rsid w:val="0025796E"/>
    <w:rsid w:val="00287BFF"/>
    <w:rsid w:val="002A1219"/>
    <w:rsid w:val="002A2616"/>
    <w:rsid w:val="002A3534"/>
    <w:rsid w:val="002D0E99"/>
    <w:rsid w:val="002D2E25"/>
    <w:rsid w:val="00305C48"/>
    <w:rsid w:val="00312A7A"/>
    <w:rsid w:val="0033388D"/>
    <w:rsid w:val="003347AE"/>
    <w:rsid w:val="00336B1D"/>
    <w:rsid w:val="00343C07"/>
    <w:rsid w:val="00363809"/>
    <w:rsid w:val="0036570A"/>
    <w:rsid w:val="00375893"/>
    <w:rsid w:val="00390C6C"/>
    <w:rsid w:val="003A06B1"/>
    <w:rsid w:val="003B1570"/>
    <w:rsid w:val="003C27DE"/>
    <w:rsid w:val="003E0664"/>
    <w:rsid w:val="003F22EE"/>
    <w:rsid w:val="00415A66"/>
    <w:rsid w:val="00423285"/>
    <w:rsid w:val="00434D14"/>
    <w:rsid w:val="00452EBB"/>
    <w:rsid w:val="004865CC"/>
    <w:rsid w:val="0049668F"/>
    <w:rsid w:val="004A228F"/>
    <w:rsid w:val="004B4C0B"/>
    <w:rsid w:val="004C3F64"/>
    <w:rsid w:val="004F17CC"/>
    <w:rsid w:val="0050201A"/>
    <w:rsid w:val="00533D1D"/>
    <w:rsid w:val="005557BE"/>
    <w:rsid w:val="00560DD5"/>
    <w:rsid w:val="005A1446"/>
    <w:rsid w:val="005A6DB7"/>
    <w:rsid w:val="005B036E"/>
    <w:rsid w:val="005C72E8"/>
    <w:rsid w:val="005E1899"/>
    <w:rsid w:val="005E36FE"/>
    <w:rsid w:val="005F4FE7"/>
    <w:rsid w:val="006000A5"/>
    <w:rsid w:val="00601F5C"/>
    <w:rsid w:val="0062795C"/>
    <w:rsid w:val="006361EF"/>
    <w:rsid w:val="006417C9"/>
    <w:rsid w:val="00674436"/>
    <w:rsid w:val="00681D0D"/>
    <w:rsid w:val="00684BBF"/>
    <w:rsid w:val="00687989"/>
    <w:rsid w:val="006A7B6C"/>
    <w:rsid w:val="006E2F89"/>
    <w:rsid w:val="006F0D6D"/>
    <w:rsid w:val="006F22C8"/>
    <w:rsid w:val="006F3B40"/>
    <w:rsid w:val="007029F6"/>
    <w:rsid w:val="00725909"/>
    <w:rsid w:val="007400B0"/>
    <w:rsid w:val="00751527"/>
    <w:rsid w:val="007535B9"/>
    <w:rsid w:val="007576ED"/>
    <w:rsid w:val="00760BDF"/>
    <w:rsid w:val="0077656B"/>
    <w:rsid w:val="007822C5"/>
    <w:rsid w:val="00792534"/>
    <w:rsid w:val="007C73DC"/>
    <w:rsid w:val="007D0852"/>
    <w:rsid w:val="007E33D6"/>
    <w:rsid w:val="007F55A3"/>
    <w:rsid w:val="007F6A2F"/>
    <w:rsid w:val="00802F57"/>
    <w:rsid w:val="00812F54"/>
    <w:rsid w:val="0082433E"/>
    <w:rsid w:val="008270FB"/>
    <w:rsid w:val="00842DBA"/>
    <w:rsid w:val="00853F89"/>
    <w:rsid w:val="00895609"/>
    <w:rsid w:val="008A22C6"/>
    <w:rsid w:val="008A2568"/>
    <w:rsid w:val="008C1383"/>
    <w:rsid w:val="008C3F7A"/>
    <w:rsid w:val="008D3AA0"/>
    <w:rsid w:val="008E762E"/>
    <w:rsid w:val="008F0056"/>
    <w:rsid w:val="00903A84"/>
    <w:rsid w:val="00906A8C"/>
    <w:rsid w:val="009221A1"/>
    <w:rsid w:val="00933FC6"/>
    <w:rsid w:val="00950CBE"/>
    <w:rsid w:val="009568FF"/>
    <w:rsid w:val="00967245"/>
    <w:rsid w:val="00980954"/>
    <w:rsid w:val="00981C27"/>
    <w:rsid w:val="009941B3"/>
    <w:rsid w:val="009D56C5"/>
    <w:rsid w:val="009E2E64"/>
    <w:rsid w:val="009F42E5"/>
    <w:rsid w:val="009F5561"/>
    <w:rsid w:val="009F75A8"/>
    <w:rsid w:val="00A0189E"/>
    <w:rsid w:val="00A12057"/>
    <w:rsid w:val="00A122B2"/>
    <w:rsid w:val="00A72D59"/>
    <w:rsid w:val="00A819D9"/>
    <w:rsid w:val="00A8639F"/>
    <w:rsid w:val="00AC7118"/>
    <w:rsid w:val="00AE2978"/>
    <w:rsid w:val="00AE4163"/>
    <w:rsid w:val="00AE443A"/>
    <w:rsid w:val="00AE776E"/>
    <w:rsid w:val="00B02836"/>
    <w:rsid w:val="00B17403"/>
    <w:rsid w:val="00B26756"/>
    <w:rsid w:val="00B30079"/>
    <w:rsid w:val="00B342D4"/>
    <w:rsid w:val="00B46A7C"/>
    <w:rsid w:val="00B56A64"/>
    <w:rsid w:val="00B734B6"/>
    <w:rsid w:val="00B82BD1"/>
    <w:rsid w:val="00B83167"/>
    <w:rsid w:val="00BA50EB"/>
    <w:rsid w:val="00BF7DC1"/>
    <w:rsid w:val="00C05D47"/>
    <w:rsid w:val="00C10FA4"/>
    <w:rsid w:val="00C13B5B"/>
    <w:rsid w:val="00C22080"/>
    <w:rsid w:val="00C262DC"/>
    <w:rsid w:val="00C277F9"/>
    <w:rsid w:val="00C425FB"/>
    <w:rsid w:val="00C47869"/>
    <w:rsid w:val="00C52899"/>
    <w:rsid w:val="00C53768"/>
    <w:rsid w:val="00C73B2A"/>
    <w:rsid w:val="00C81B6D"/>
    <w:rsid w:val="00C82E32"/>
    <w:rsid w:val="00C95DA4"/>
    <w:rsid w:val="00CD2658"/>
    <w:rsid w:val="00CD5EC3"/>
    <w:rsid w:val="00CE26B0"/>
    <w:rsid w:val="00CE296E"/>
    <w:rsid w:val="00D026A1"/>
    <w:rsid w:val="00D02ED8"/>
    <w:rsid w:val="00D06594"/>
    <w:rsid w:val="00D172AA"/>
    <w:rsid w:val="00D17FA8"/>
    <w:rsid w:val="00D221B8"/>
    <w:rsid w:val="00D407AC"/>
    <w:rsid w:val="00D44653"/>
    <w:rsid w:val="00D47454"/>
    <w:rsid w:val="00D550F5"/>
    <w:rsid w:val="00D716C1"/>
    <w:rsid w:val="00D75D39"/>
    <w:rsid w:val="00D940B0"/>
    <w:rsid w:val="00DA5AA6"/>
    <w:rsid w:val="00DB0F7D"/>
    <w:rsid w:val="00DB3515"/>
    <w:rsid w:val="00DB7633"/>
    <w:rsid w:val="00DB7982"/>
    <w:rsid w:val="00DC4018"/>
    <w:rsid w:val="00DD03EA"/>
    <w:rsid w:val="00DD59C8"/>
    <w:rsid w:val="00DD7C24"/>
    <w:rsid w:val="00E01EB3"/>
    <w:rsid w:val="00E07B1F"/>
    <w:rsid w:val="00E16D89"/>
    <w:rsid w:val="00E45266"/>
    <w:rsid w:val="00E5453C"/>
    <w:rsid w:val="00E651D8"/>
    <w:rsid w:val="00E66BDB"/>
    <w:rsid w:val="00E721EF"/>
    <w:rsid w:val="00E73511"/>
    <w:rsid w:val="00E81D4E"/>
    <w:rsid w:val="00E90919"/>
    <w:rsid w:val="00EA2C6D"/>
    <w:rsid w:val="00EB1898"/>
    <w:rsid w:val="00EB2DC4"/>
    <w:rsid w:val="00ED0033"/>
    <w:rsid w:val="00ED142E"/>
    <w:rsid w:val="00EE16A0"/>
    <w:rsid w:val="00EE4D2C"/>
    <w:rsid w:val="00EF6290"/>
    <w:rsid w:val="00F10843"/>
    <w:rsid w:val="00F129A7"/>
    <w:rsid w:val="00F1663E"/>
    <w:rsid w:val="00F407C3"/>
    <w:rsid w:val="00F502BA"/>
    <w:rsid w:val="00F73C8B"/>
    <w:rsid w:val="00F748C1"/>
    <w:rsid w:val="00F84AAD"/>
    <w:rsid w:val="00F935EF"/>
    <w:rsid w:val="00F94FE6"/>
    <w:rsid w:val="00FA2106"/>
    <w:rsid w:val="00FA4809"/>
    <w:rsid w:val="00FB1217"/>
    <w:rsid w:val="00FB53DF"/>
    <w:rsid w:val="00FB60C0"/>
    <w:rsid w:val="00FD3349"/>
    <w:rsid w:val="028D1A14"/>
    <w:rsid w:val="03A414C8"/>
    <w:rsid w:val="043132CE"/>
    <w:rsid w:val="04B16515"/>
    <w:rsid w:val="052446EE"/>
    <w:rsid w:val="05462D97"/>
    <w:rsid w:val="0722265B"/>
    <w:rsid w:val="07A30962"/>
    <w:rsid w:val="0AAD48BF"/>
    <w:rsid w:val="0B437A81"/>
    <w:rsid w:val="0C2D133B"/>
    <w:rsid w:val="0D9C4B8C"/>
    <w:rsid w:val="0E092D0B"/>
    <w:rsid w:val="0EC81837"/>
    <w:rsid w:val="0F5238B5"/>
    <w:rsid w:val="0FEB509E"/>
    <w:rsid w:val="103364D3"/>
    <w:rsid w:val="108233AD"/>
    <w:rsid w:val="10A511DC"/>
    <w:rsid w:val="10F93D79"/>
    <w:rsid w:val="111C434C"/>
    <w:rsid w:val="12076629"/>
    <w:rsid w:val="12FD4DF0"/>
    <w:rsid w:val="133001AE"/>
    <w:rsid w:val="134D526F"/>
    <w:rsid w:val="160A5910"/>
    <w:rsid w:val="178C1298"/>
    <w:rsid w:val="1A907481"/>
    <w:rsid w:val="1B3D7278"/>
    <w:rsid w:val="1D6C2FCD"/>
    <w:rsid w:val="1E0B5C9C"/>
    <w:rsid w:val="1FF5604A"/>
    <w:rsid w:val="2059449C"/>
    <w:rsid w:val="20BC665B"/>
    <w:rsid w:val="20C11697"/>
    <w:rsid w:val="21372698"/>
    <w:rsid w:val="22E67475"/>
    <w:rsid w:val="247A6FAA"/>
    <w:rsid w:val="249D47DC"/>
    <w:rsid w:val="259E23E3"/>
    <w:rsid w:val="269D741C"/>
    <w:rsid w:val="27377929"/>
    <w:rsid w:val="27584E00"/>
    <w:rsid w:val="294A7F7D"/>
    <w:rsid w:val="29F8276D"/>
    <w:rsid w:val="29FB7D70"/>
    <w:rsid w:val="2A53594F"/>
    <w:rsid w:val="2ABF7615"/>
    <w:rsid w:val="2AEB7548"/>
    <w:rsid w:val="2CE70F66"/>
    <w:rsid w:val="2E4243E1"/>
    <w:rsid w:val="2F9B35E3"/>
    <w:rsid w:val="2FDD066F"/>
    <w:rsid w:val="30730D18"/>
    <w:rsid w:val="308001C6"/>
    <w:rsid w:val="31252E3F"/>
    <w:rsid w:val="31FD11FC"/>
    <w:rsid w:val="34DB4439"/>
    <w:rsid w:val="34F97B15"/>
    <w:rsid w:val="36256509"/>
    <w:rsid w:val="36AD5E36"/>
    <w:rsid w:val="36BB4D35"/>
    <w:rsid w:val="36FF731F"/>
    <w:rsid w:val="39673EBA"/>
    <w:rsid w:val="3A4A0926"/>
    <w:rsid w:val="3C2512EE"/>
    <w:rsid w:val="3C4D2E8B"/>
    <w:rsid w:val="3C81270D"/>
    <w:rsid w:val="3ED05834"/>
    <w:rsid w:val="3EF229BA"/>
    <w:rsid w:val="3F9D016B"/>
    <w:rsid w:val="408B4949"/>
    <w:rsid w:val="4236267D"/>
    <w:rsid w:val="42BC2694"/>
    <w:rsid w:val="44921DE2"/>
    <w:rsid w:val="45562D9B"/>
    <w:rsid w:val="463A646A"/>
    <w:rsid w:val="46CC3297"/>
    <w:rsid w:val="471E6356"/>
    <w:rsid w:val="48CD06B6"/>
    <w:rsid w:val="48D63B60"/>
    <w:rsid w:val="495138DA"/>
    <w:rsid w:val="49B00079"/>
    <w:rsid w:val="4ADC5E51"/>
    <w:rsid w:val="4C544655"/>
    <w:rsid w:val="4CA036CC"/>
    <w:rsid w:val="4CB7255F"/>
    <w:rsid w:val="4D2968B7"/>
    <w:rsid w:val="4D5B1BD1"/>
    <w:rsid w:val="4D96357F"/>
    <w:rsid w:val="4ED53EED"/>
    <w:rsid w:val="4EFB0F58"/>
    <w:rsid w:val="4F69410F"/>
    <w:rsid w:val="51BC1E2A"/>
    <w:rsid w:val="52FD335B"/>
    <w:rsid w:val="54544D6D"/>
    <w:rsid w:val="56A276D0"/>
    <w:rsid w:val="57B03788"/>
    <w:rsid w:val="5917309A"/>
    <w:rsid w:val="592526F4"/>
    <w:rsid w:val="59D04F91"/>
    <w:rsid w:val="59DF13C5"/>
    <w:rsid w:val="5B035A3A"/>
    <w:rsid w:val="5BE41C7F"/>
    <w:rsid w:val="5C435B8D"/>
    <w:rsid w:val="5D3C5BA5"/>
    <w:rsid w:val="5DA1645E"/>
    <w:rsid w:val="5E38554B"/>
    <w:rsid w:val="5E5431CD"/>
    <w:rsid w:val="63213BB4"/>
    <w:rsid w:val="63BA5678"/>
    <w:rsid w:val="64165519"/>
    <w:rsid w:val="64CE046B"/>
    <w:rsid w:val="64D82E8B"/>
    <w:rsid w:val="676770CE"/>
    <w:rsid w:val="679E2A0F"/>
    <w:rsid w:val="6BC54056"/>
    <w:rsid w:val="6C8F263F"/>
    <w:rsid w:val="6E0D279D"/>
    <w:rsid w:val="71052DB8"/>
    <w:rsid w:val="71346E5A"/>
    <w:rsid w:val="728D7A35"/>
    <w:rsid w:val="735D6752"/>
    <w:rsid w:val="743531C2"/>
    <w:rsid w:val="743B3E91"/>
    <w:rsid w:val="751C7E3C"/>
    <w:rsid w:val="75A22D1B"/>
    <w:rsid w:val="77DD70DB"/>
    <w:rsid w:val="78FB4BB6"/>
    <w:rsid w:val="79502770"/>
    <w:rsid w:val="7A7226AF"/>
    <w:rsid w:val="7B0C1162"/>
    <w:rsid w:val="7B344CA7"/>
    <w:rsid w:val="7BAF49F6"/>
    <w:rsid w:val="7C3B5127"/>
    <w:rsid w:val="7D9B6771"/>
    <w:rsid w:val="7F056143"/>
    <w:rsid w:val="7F0F4222"/>
    <w:rsid w:val="7F362E0C"/>
    <w:rsid w:val="7F3A6B56"/>
    <w:rsid w:val="7F7F5721"/>
    <w:rsid w:val="7FBE32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spacing w:after="120"/>
      <w:ind w:left="420" w:leftChars="200"/>
    </w:pPr>
  </w:style>
  <w:style w:type="paragraph" w:styleId="3">
    <w:name w:val="Balloon Text"/>
    <w:basedOn w:val="1"/>
    <w:link w:val="11"/>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paragraph" w:styleId="7">
    <w:name w:val="Body Text First Indent 2"/>
    <w:basedOn w:val="2"/>
    <w:link w:val="14"/>
    <w:qFormat/>
    <w:uiPriority w:val="0"/>
    <w:pPr>
      <w:adjustRightInd w:val="0"/>
      <w:ind w:left="0" w:leftChars="0" w:firstLine="880" w:firstLineChars="200"/>
    </w:pPr>
    <w:rPr>
      <w:rFonts w:ascii="Calibri" w:hAnsi="Calibri" w:eastAsia="仿宋" w:cs="Times New Roman"/>
      <w:sz w:val="32"/>
    </w:rPr>
  </w:style>
  <w:style w:type="character" w:customStyle="1" w:styleId="10">
    <w:name w:val="正文文本缩进 Char"/>
    <w:basedOn w:val="9"/>
    <w:link w:val="2"/>
    <w:qFormat/>
    <w:uiPriority w:val="0"/>
    <w:rPr>
      <w:rFonts w:ascii="Calibri" w:hAnsi="Calibri" w:eastAsia="宋体" w:cs="Times New Roman"/>
      <w:kern w:val="2"/>
      <w:sz w:val="21"/>
      <w:szCs w:val="22"/>
    </w:rPr>
  </w:style>
  <w:style w:type="character" w:customStyle="1" w:styleId="11">
    <w:name w:val="批注框文本 Char"/>
    <w:basedOn w:val="9"/>
    <w:link w:val="3"/>
    <w:qFormat/>
    <w:uiPriority w:val="0"/>
    <w:rPr>
      <w:rFonts w:ascii="Calibri" w:hAnsi="Calibri" w:eastAsia="宋体" w:cs="Times New Roman"/>
      <w:kern w:val="2"/>
      <w:sz w:val="18"/>
      <w:szCs w:val="18"/>
    </w:rPr>
  </w:style>
  <w:style w:type="character" w:customStyle="1" w:styleId="12">
    <w:name w:val="页脚 Char"/>
    <w:basedOn w:val="9"/>
    <w:link w:val="4"/>
    <w:qFormat/>
    <w:uiPriority w:val="99"/>
    <w:rPr>
      <w:rFonts w:ascii="Calibri" w:hAnsi="Calibri" w:eastAsia="宋体" w:cs="Times New Roman"/>
      <w:kern w:val="2"/>
      <w:sz w:val="18"/>
      <w:szCs w:val="18"/>
    </w:rPr>
  </w:style>
  <w:style w:type="character" w:customStyle="1" w:styleId="13">
    <w:name w:val="页眉 Char"/>
    <w:basedOn w:val="9"/>
    <w:link w:val="5"/>
    <w:qFormat/>
    <w:uiPriority w:val="0"/>
    <w:rPr>
      <w:rFonts w:ascii="Calibri" w:hAnsi="Calibri" w:eastAsia="宋体" w:cs="Times New Roman"/>
      <w:kern w:val="2"/>
      <w:sz w:val="18"/>
      <w:szCs w:val="18"/>
    </w:rPr>
  </w:style>
  <w:style w:type="character" w:customStyle="1" w:styleId="14">
    <w:name w:val="正文首行缩进 2 Char"/>
    <w:basedOn w:val="10"/>
    <w:link w:val="7"/>
    <w:qFormat/>
    <w:uiPriority w:val="0"/>
    <w:rPr>
      <w:rFonts w:ascii="Calibri" w:hAnsi="Calibri" w:eastAsia="仿宋" w:cs="Times New Roman"/>
      <w:kern w:val="2"/>
      <w:sz w:val="32"/>
      <w:szCs w:val="22"/>
    </w:rPr>
  </w:style>
  <w:style w:type="paragraph" w:customStyle="1" w:styleId="15">
    <w:name w:val="列出段落2"/>
    <w:basedOn w:val="1"/>
    <w:qFormat/>
    <w:uiPriority w:val="34"/>
    <w:pPr>
      <w:ind w:firstLine="420" w:firstLineChars="200"/>
    </w:p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240</Words>
  <Characters>1370</Characters>
  <Lines>11</Lines>
  <Paragraphs>3</Paragraphs>
  <TotalTime>1</TotalTime>
  <ScaleCrop>false</ScaleCrop>
  <LinksUpToDate>false</LinksUpToDate>
  <CharactersWithSpaces>1607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2021-01-12T01:57:00Z</dcterms:created>
  <dc:creator>ywk-rx</dc:creator>
  <cp:lastModifiedBy>赵爽</cp:lastModifiedBy>
  <cp:lastPrinted>2021-06-08T02:30:00Z</cp:lastPrinted>
  <dcterms:modified xsi:type="dcterms:W3CDTF">2021-12-13T10:11:26Z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D24194D9B8E64A5DBB0672D430152856</vt:lpwstr>
  </property>
</Properties>
</file>