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D1" w:rsidRPr="00722788" w:rsidRDefault="001528D1" w:rsidP="001528D1">
      <w:pPr>
        <w:spacing w:line="580" w:lineRule="exact"/>
        <w:rPr>
          <w:rFonts w:ascii="黑体" w:eastAsia="黑体" w:hint="eastAsia"/>
          <w:sz w:val="32"/>
          <w:szCs w:val="32"/>
        </w:rPr>
      </w:pPr>
      <w:r w:rsidRPr="00722788">
        <w:rPr>
          <w:rFonts w:ascii="黑体" w:eastAsia="黑体" w:hint="eastAsia"/>
          <w:sz w:val="32"/>
          <w:szCs w:val="32"/>
        </w:rPr>
        <w:t>附件</w:t>
      </w:r>
    </w:p>
    <w:p w:rsidR="001528D1" w:rsidRDefault="001528D1" w:rsidP="001528D1">
      <w:pPr>
        <w:spacing w:line="580" w:lineRule="exact"/>
        <w:jc w:val="center"/>
        <w:rPr>
          <w:rFonts w:ascii="方正小标宋简体" w:eastAsia="方正小标宋简体"/>
          <w:sz w:val="44"/>
          <w:szCs w:val="44"/>
        </w:rPr>
      </w:pPr>
    </w:p>
    <w:p w:rsidR="001528D1" w:rsidRPr="00722788" w:rsidRDefault="001528D1" w:rsidP="001528D1">
      <w:pPr>
        <w:spacing w:line="580" w:lineRule="exact"/>
        <w:jc w:val="center"/>
        <w:rPr>
          <w:rFonts w:ascii="方正小标宋简体" w:eastAsia="方正小标宋简体" w:hint="eastAsia"/>
          <w:sz w:val="44"/>
          <w:szCs w:val="44"/>
        </w:rPr>
      </w:pPr>
      <w:bookmarkStart w:id="0" w:name="_GoBack"/>
      <w:r w:rsidRPr="00722788">
        <w:rPr>
          <w:rFonts w:ascii="方正小标宋简体" w:eastAsia="方正小标宋简体" w:hint="eastAsia"/>
          <w:sz w:val="44"/>
          <w:szCs w:val="44"/>
        </w:rPr>
        <w:t>基层政务公开事项标准目录指引</w:t>
      </w:r>
    </w:p>
    <w:bookmarkEnd w:id="0"/>
    <w:p w:rsidR="001528D1" w:rsidRPr="00E63B35" w:rsidRDefault="001528D1" w:rsidP="001528D1">
      <w:pPr>
        <w:spacing w:line="580" w:lineRule="exact"/>
        <w:jc w:val="center"/>
        <w:rPr>
          <w:rFonts w:ascii="方正小标宋简体" w:eastAsia="方正小标宋简体"/>
          <w:sz w:val="44"/>
          <w:szCs w:val="44"/>
        </w:rPr>
      </w:pPr>
    </w:p>
    <w:p w:rsidR="001528D1" w:rsidRPr="00EA5011" w:rsidRDefault="001528D1" w:rsidP="001528D1">
      <w:pPr>
        <w:spacing w:line="580" w:lineRule="exact"/>
        <w:jc w:val="center"/>
        <w:rPr>
          <w:rFonts w:ascii="黑体" w:eastAsia="黑体" w:hint="eastAsia"/>
          <w:spacing w:val="60"/>
          <w:sz w:val="32"/>
          <w:szCs w:val="32"/>
        </w:rPr>
      </w:pPr>
      <w:r w:rsidRPr="00EA5011">
        <w:rPr>
          <w:rFonts w:ascii="黑体" w:eastAsia="黑体" w:hint="eastAsia"/>
          <w:spacing w:val="60"/>
          <w:sz w:val="32"/>
          <w:szCs w:val="32"/>
        </w:rPr>
        <w:t>（一）城乡规划类</w:t>
      </w:r>
    </w:p>
    <w:p w:rsidR="001528D1" w:rsidRPr="002010A8" w:rsidRDefault="001528D1" w:rsidP="001528D1">
      <w:pPr>
        <w:spacing w:line="300" w:lineRule="exact"/>
        <w:jc w:val="center"/>
        <w:rPr>
          <w:rFonts w:ascii="方正黑体简体" w:eastAsia="方正黑体简体"/>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DA6FE6" w:rsidTr="00CB7AD5">
        <w:trPr>
          <w:trHeight w:val="1314"/>
        </w:trPr>
        <w:tc>
          <w:tcPr>
            <w:tcW w:w="1560" w:type="dxa"/>
            <w:shd w:val="clear" w:color="auto" w:fill="auto"/>
            <w:vAlign w:val="center"/>
          </w:tcPr>
          <w:p w:rsidR="001528D1" w:rsidRPr="005263E0" w:rsidRDefault="001528D1" w:rsidP="00CB7AD5">
            <w:pPr>
              <w:spacing w:line="680" w:lineRule="exact"/>
              <w:jc w:val="center"/>
              <w:rPr>
                <w:rFonts w:ascii="黑体" w:eastAsia="黑体" w:hAnsi="黑体" w:hint="eastAsia"/>
                <w:sz w:val="28"/>
                <w:szCs w:val="28"/>
              </w:rPr>
            </w:pPr>
            <w:r w:rsidRPr="005263E0">
              <w:rPr>
                <w:rFonts w:ascii="黑体" w:eastAsia="黑体" w:hAnsi="黑体" w:hint="eastAsia"/>
                <w:sz w:val="28"/>
                <w:szCs w:val="28"/>
              </w:rPr>
              <w:t>事项名称</w:t>
            </w:r>
          </w:p>
        </w:tc>
        <w:tc>
          <w:tcPr>
            <w:tcW w:w="7392" w:type="dxa"/>
            <w:shd w:val="clear" w:color="auto" w:fill="auto"/>
            <w:vAlign w:val="center"/>
          </w:tcPr>
          <w:p w:rsidR="001528D1" w:rsidRPr="005263E0" w:rsidRDefault="001528D1" w:rsidP="00CB7AD5">
            <w:pPr>
              <w:spacing w:line="680" w:lineRule="exact"/>
              <w:jc w:val="left"/>
              <w:rPr>
                <w:rFonts w:ascii="仿宋_GB2312" w:eastAsia="仿宋_GB2312" w:hAnsi="黑体" w:hint="eastAsia"/>
                <w:sz w:val="28"/>
                <w:szCs w:val="28"/>
              </w:rPr>
            </w:pPr>
            <w:r w:rsidRPr="005263E0">
              <w:rPr>
                <w:rFonts w:ascii="仿宋_GB2312" w:eastAsia="仿宋_GB2312" w:hAnsi="黑体" w:hint="eastAsia"/>
                <w:sz w:val="28"/>
                <w:szCs w:val="28"/>
              </w:rPr>
              <w:t>城乡规划</w:t>
            </w:r>
          </w:p>
        </w:tc>
      </w:tr>
      <w:tr w:rsidR="001528D1" w:rsidRPr="00DA6FE6" w:rsidTr="00CB7AD5">
        <w:trPr>
          <w:trHeight w:val="1272"/>
        </w:trPr>
        <w:tc>
          <w:tcPr>
            <w:tcW w:w="1560" w:type="dxa"/>
            <w:shd w:val="clear" w:color="auto" w:fill="auto"/>
            <w:vAlign w:val="center"/>
          </w:tcPr>
          <w:p w:rsidR="001528D1" w:rsidRPr="005263E0" w:rsidRDefault="001528D1" w:rsidP="00CB7AD5">
            <w:pPr>
              <w:spacing w:line="680" w:lineRule="exact"/>
              <w:jc w:val="center"/>
              <w:rPr>
                <w:rFonts w:ascii="黑体" w:eastAsia="黑体" w:hint="eastAsia"/>
                <w:sz w:val="28"/>
                <w:szCs w:val="28"/>
              </w:rPr>
            </w:pPr>
            <w:r w:rsidRPr="005263E0">
              <w:rPr>
                <w:rFonts w:ascii="黑体" w:eastAsia="黑体" w:hint="eastAsia"/>
                <w:sz w:val="28"/>
                <w:szCs w:val="28"/>
              </w:rPr>
              <w:t>公开依据</w:t>
            </w:r>
          </w:p>
        </w:tc>
        <w:tc>
          <w:tcPr>
            <w:tcW w:w="7392" w:type="dxa"/>
            <w:shd w:val="clear" w:color="auto" w:fill="auto"/>
            <w:vAlign w:val="center"/>
          </w:tcPr>
          <w:p w:rsidR="001528D1" w:rsidRPr="005263E0" w:rsidRDefault="001528D1" w:rsidP="00CB7AD5">
            <w:pPr>
              <w:spacing w:line="68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w:t>
            </w:r>
          </w:p>
        </w:tc>
      </w:tr>
      <w:tr w:rsidR="001528D1" w:rsidRPr="00DA6FE6" w:rsidTr="00CB7AD5">
        <w:trPr>
          <w:trHeight w:val="1262"/>
        </w:trPr>
        <w:tc>
          <w:tcPr>
            <w:tcW w:w="1560" w:type="dxa"/>
            <w:shd w:val="clear" w:color="auto" w:fill="auto"/>
            <w:vAlign w:val="center"/>
          </w:tcPr>
          <w:p w:rsidR="001528D1" w:rsidRPr="005263E0" w:rsidRDefault="001528D1" w:rsidP="00CB7AD5">
            <w:pPr>
              <w:spacing w:line="680" w:lineRule="exact"/>
              <w:jc w:val="center"/>
              <w:rPr>
                <w:rFonts w:ascii="黑体" w:eastAsia="黑体" w:hint="eastAsia"/>
                <w:sz w:val="28"/>
                <w:szCs w:val="28"/>
              </w:rPr>
            </w:pPr>
            <w:r w:rsidRPr="005263E0">
              <w:rPr>
                <w:rFonts w:ascii="黑体" w:eastAsia="黑体" w:hint="eastAsia"/>
                <w:sz w:val="28"/>
                <w:szCs w:val="28"/>
              </w:rPr>
              <w:t>公开内容</w:t>
            </w:r>
          </w:p>
        </w:tc>
        <w:tc>
          <w:tcPr>
            <w:tcW w:w="7392" w:type="dxa"/>
            <w:shd w:val="clear" w:color="auto" w:fill="auto"/>
            <w:vAlign w:val="center"/>
          </w:tcPr>
          <w:p w:rsidR="001528D1" w:rsidRPr="005263E0" w:rsidRDefault="001528D1" w:rsidP="00CB7AD5">
            <w:pPr>
              <w:spacing w:line="680" w:lineRule="exact"/>
              <w:jc w:val="left"/>
              <w:rPr>
                <w:rFonts w:ascii="仿宋_GB2312" w:eastAsia="仿宋_GB2312" w:hint="eastAsia"/>
                <w:sz w:val="28"/>
                <w:szCs w:val="28"/>
              </w:rPr>
            </w:pPr>
            <w:r w:rsidRPr="005263E0">
              <w:rPr>
                <w:rFonts w:ascii="仿宋_GB2312" w:eastAsia="仿宋_GB2312" w:hint="eastAsia"/>
                <w:sz w:val="28"/>
                <w:szCs w:val="28"/>
              </w:rPr>
              <w:t>城镇体系规划、城市规划、镇规划、乡规划、村镇规划</w:t>
            </w:r>
          </w:p>
        </w:tc>
      </w:tr>
      <w:tr w:rsidR="001528D1" w:rsidRPr="00DA6FE6" w:rsidTr="00CB7AD5">
        <w:trPr>
          <w:trHeight w:val="1266"/>
        </w:trPr>
        <w:tc>
          <w:tcPr>
            <w:tcW w:w="1560" w:type="dxa"/>
            <w:shd w:val="clear" w:color="auto" w:fill="auto"/>
            <w:vAlign w:val="center"/>
          </w:tcPr>
          <w:p w:rsidR="001528D1" w:rsidRPr="005263E0" w:rsidRDefault="001528D1" w:rsidP="00CB7AD5">
            <w:pPr>
              <w:spacing w:line="680" w:lineRule="exact"/>
              <w:jc w:val="center"/>
              <w:rPr>
                <w:rFonts w:ascii="黑体" w:eastAsia="黑体" w:hint="eastAsia"/>
                <w:sz w:val="28"/>
                <w:szCs w:val="28"/>
              </w:rPr>
            </w:pPr>
            <w:r w:rsidRPr="005263E0">
              <w:rPr>
                <w:rFonts w:ascii="黑体" w:eastAsia="黑体" w:hint="eastAsia"/>
                <w:sz w:val="28"/>
                <w:szCs w:val="28"/>
              </w:rPr>
              <w:t>公开主体</w:t>
            </w:r>
          </w:p>
        </w:tc>
        <w:tc>
          <w:tcPr>
            <w:tcW w:w="7392" w:type="dxa"/>
            <w:shd w:val="clear" w:color="auto" w:fill="auto"/>
            <w:vAlign w:val="center"/>
          </w:tcPr>
          <w:p w:rsidR="001528D1" w:rsidRPr="005263E0" w:rsidRDefault="001528D1" w:rsidP="00CB7AD5">
            <w:pPr>
              <w:spacing w:line="680" w:lineRule="exact"/>
              <w:jc w:val="left"/>
              <w:rPr>
                <w:rFonts w:ascii="仿宋_GB2312" w:eastAsia="仿宋_GB2312" w:hint="eastAsia"/>
                <w:sz w:val="28"/>
                <w:szCs w:val="28"/>
              </w:rPr>
            </w:pPr>
            <w:r w:rsidRPr="005263E0">
              <w:rPr>
                <w:rFonts w:ascii="仿宋_GB2312" w:eastAsia="仿宋_GB2312" w:hint="eastAsia"/>
                <w:sz w:val="28"/>
                <w:szCs w:val="28"/>
              </w:rPr>
              <w:t>×××规划局</w:t>
            </w:r>
          </w:p>
        </w:tc>
      </w:tr>
      <w:tr w:rsidR="001528D1" w:rsidRPr="00DA6FE6" w:rsidTr="00CB7AD5">
        <w:trPr>
          <w:trHeight w:val="1271"/>
        </w:trPr>
        <w:tc>
          <w:tcPr>
            <w:tcW w:w="1560" w:type="dxa"/>
            <w:shd w:val="clear" w:color="auto" w:fill="auto"/>
            <w:vAlign w:val="center"/>
          </w:tcPr>
          <w:p w:rsidR="001528D1" w:rsidRPr="005263E0" w:rsidRDefault="001528D1" w:rsidP="00CB7AD5">
            <w:pPr>
              <w:spacing w:line="68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680" w:lineRule="exact"/>
              <w:jc w:val="left"/>
              <w:rPr>
                <w:rFonts w:ascii="仿宋_GB2312" w:eastAsia="仿宋_GB2312" w:hint="eastAsia"/>
                <w:sz w:val="28"/>
                <w:szCs w:val="28"/>
              </w:rPr>
            </w:pPr>
            <w:r w:rsidRPr="005263E0">
              <w:rPr>
                <w:rFonts w:ascii="仿宋_GB2312" w:eastAsia="仿宋_GB2312" w:hint="eastAsia"/>
                <w:sz w:val="28"/>
                <w:szCs w:val="28"/>
              </w:rPr>
              <w:t>自印发之日起20个工作日内</w:t>
            </w:r>
          </w:p>
        </w:tc>
      </w:tr>
      <w:tr w:rsidR="001528D1" w:rsidRPr="00DA6FE6" w:rsidTr="00CB7AD5">
        <w:trPr>
          <w:trHeight w:val="1260"/>
        </w:trPr>
        <w:tc>
          <w:tcPr>
            <w:tcW w:w="1560" w:type="dxa"/>
            <w:shd w:val="clear" w:color="auto" w:fill="auto"/>
            <w:vAlign w:val="center"/>
          </w:tcPr>
          <w:p w:rsidR="001528D1" w:rsidRPr="005263E0" w:rsidRDefault="001528D1" w:rsidP="00CB7AD5">
            <w:pPr>
              <w:spacing w:line="68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68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××旗县（市、区）政府门户网站（公报）、当地主要媒体</w:t>
            </w:r>
          </w:p>
        </w:tc>
      </w:tr>
      <w:tr w:rsidR="001528D1" w:rsidRPr="00DA6FE6" w:rsidTr="00CB7AD5">
        <w:trPr>
          <w:trHeight w:val="971"/>
        </w:trPr>
        <w:tc>
          <w:tcPr>
            <w:tcW w:w="1560" w:type="dxa"/>
            <w:shd w:val="clear" w:color="auto" w:fill="auto"/>
            <w:vAlign w:val="center"/>
          </w:tcPr>
          <w:p w:rsidR="001528D1" w:rsidRPr="005263E0" w:rsidRDefault="001528D1" w:rsidP="00CB7AD5">
            <w:pPr>
              <w:spacing w:line="68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680" w:lineRule="exact"/>
              <w:jc w:val="left"/>
              <w:rPr>
                <w:rFonts w:ascii="仿宋_GB2312" w:eastAsia="仿宋_GB2312" w:hint="eastAsia"/>
                <w:sz w:val="28"/>
                <w:szCs w:val="28"/>
              </w:rPr>
            </w:pPr>
          </w:p>
          <w:p w:rsidR="001528D1" w:rsidRPr="005263E0" w:rsidRDefault="001528D1" w:rsidP="00CB7AD5">
            <w:pPr>
              <w:spacing w:line="680" w:lineRule="exact"/>
              <w:jc w:val="left"/>
              <w:rPr>
                <w:rFonts w:ascii="仿宋_GB2312" w:eastAsia="仿宋_GB2312" w:hint="eastAsia"/>
                <w:sz w:val="28"/>
                <w:szCs w:val="28"/>
              </w:rPr>
            </w:pPr>
          </w:p>
        </w:tc>
      </w:tr>
    </w:tbl>
    <w:p w:rsidR="001528D1" w:rsidRDefault="001528D1" w:rsidP="001528D1">
      <w:pPr>
        <w:spacing w:line="460" w:lineRule="exact"/>
        <w:rPr>
          <w:rFonts w:ascii="方正仿宋简体" w:eastAsia="方正仿宋简体"/>
          <w:sz w:val="32"/>
          <w:szCs w:val="32"/>
        </w:rPr>
      </w:pPr>
    </w:p>
    <w:p w:rsidR="001528D1" w:rsidRPr="00EA5011" w:rsidRDefault="001528D1" w:rsidP="001528D1">
      <w:pPr>
        <w:spacing w:line="460" w:lineRule="exact"/>
        <w:jc w:val="center"/>
        <w:rPr>
          <w:rFonts w:ascii="黑体" w:eastAsia="黑体" w:hint="eastAsia"/>
          <w:spacing w:val="60"/>
          <w:sz w:val="32"/>
          <w:szCs w:val="32"/>
        </w:rPr>
      </w:pPr>
      <w:r w:rsidRPr="00722788">
        <w:rPr>
          <w:rFonts w:ascii="黑体" w:eastAsia="黑体" w:hint="eastAsia"/>
          <w:sz w:val="32"/>
          <w:szCs w:val="32"/>
        </w:rPr>
        <w:t>（二）</w:t>
      </w:r>
      <w:r w:rsidRPr="00EA5011">
        <w:rPr>
          <w:rFonts w:ascii="黑体" w:eastAsia="黑体" w:hint="eastAsia"/>
          <w:spacing w:val="60"/>
          <w:sz w:val="32"/>
          <w:szCs w:val="32"/>
        </w:rPr>
        <w:t>重大建设项目类</w:t>
      </w:r>
    </w:p>
    <w:p w:rsidR="001528D1" w:rsidRPr="00F9190A" w:rsidRDefault="001528D1" w:rsidP="001528D1">
      <w:pPr>
        <w:spacing w:line="300" w:lineRule="exact"/>
        <w:jc w:val="center"/>
        <w:rPr>
          <w:rFonts w:ascii="方正黑体简体" w:eastAsia="方正黑体简体"/>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DA6FE6" w:rsidTr="00CB7AD5">
        <w:trPr>
          <w:trHeight w:val="1620"/>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lastRenderedPageBreak/>
              <w:t>事项名称</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重大建设项目</w:t>
            </w:r>
          </w:p>
        </w:tc>
      </w:tr>
      <w:tr w:rsidR="001528D1" w:rsidRPr="00DA6FE6" w:rsidTr="00CB7AD5">
        <w:trPr>
          <w:trHeight w:val="1553"/>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公开依据</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w:t>
            </w:r>
          </w:p>
        </w:tc>
      </w:tr>
      <w:tr w:rsidR="001528D1" w:rsidRPr="00DA6FE6" w:rsidTr="00CB7AD5">
        <w:trPr>
          <w:trHeight w:val="1562"/>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公开内容</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×××项目名称、批复情况、项目投资以及开工、进展、竣工、验收情况等</w:t>
            </w:r>
          </w:p>
        </w:tc>
      </w:tr>
      <w:tr w:rsidR="001528D1" w:rsidRPr="00DA6FE6" w:rsidTr="00CB7AD5">
        <w:trPr>
          <w:trHeight w:val="1542"/>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公开主体</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×××委（办、局）</w:t>
            </w:r>
          </w:p>
        </w:tc>
      </w:tr>
      <w:tr w:rsidR="001528D1" w:rsidRPr="00DA6FE6" w:rsidTr="00CB7AD5">
        <w:trPr>
          <w:trHeight w:val="1549"/>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roofErr w:type="gramStart"/>
            <w:r w:rsidRPr="005263E0">
              <w:rPr>
                <w:rFonts w:ascii="仿宋_GB2312" w:eastAsia="仿宋_GB2312" w:hint="eastAsia"/>
                <w:sz w:val="28"/>
                <w:szCs w:val="28"/>
              </w:rPr>
              <w:t>自项目</w:t>
            </w:r>
            <w:proofErr w:type="gramEnd"/>
            <w:r w:rsidRPr="005263E0">
              <w:rPr>
                <w:rFonts w:ascii="仿宋_GB2312" w:eastAsia="仿宋_GB2312" w:hint="eastAsia"/>
                <w:sz w:val="28"/>
                <w:szCs w:val="28"/>
              </w:rPr>
              <w:t>批复之日起20个工作日内</w:t>
            </w:r>
          </w:p>
        </w:tc>
      </w:tr>
      <w:tr w:rsidR="001528D1" w:rsidRPr="00DA6FE6" w:rsidTr="00CB7AD5">
        <w:trPr>
          <w:trHeight w:val="1699"/>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××旗县（市、区）政府门户网站（公报）、当地主要媒体</w:t>
            </w:r>
          </w:p>
        </w:tc>
      </w:tr>
      <w:tr w:rsidR="001528D1" w:rsidRPr="00DA6FE6" w:rsidTr="00CB7AD5">
        <w:trPr>
          <w:trHeight w:val="1681"/>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
          <w:p w:rsidR="001528D1" w:rsidRPr="005263E0" w:rsidRDefault="001528D1" w:rsidP="00CB7AD5">
            <w:pPr>
              <w:spacing w:line="400" w:lineRule="exact"/>
              <w:jc w:val="left"/>
              <w:rPr>
                <w:rFonts w:ascii="仿宋_GB2312" w:eastAsia="仿宋_GB2312" w:hint="eastAsia"/>
                <w:sz w:val="28"/>
                <w:szCs w:val="28"/>
              </w:rPr>
            </w:pPr>
          </w:p>
        </w:tc>
      </w:tr>
    </w:tbl>
    <w:p w:rsidR="001528D1" w:rsidRDefault="001528D1" w:rsidP="001528D1">
      <w:pPr>
        <w:spacing w:line="460" w:lineRule="exact"/>
        <w:rPr>
          <w:rFonts w:ascii="方正仿宋简体" w:eastAsia="方正仿宋简体"/>
          <w:sz w:val="32"/>
          <w:szCs w:val="32"/>
        </w:rPr>
      </w:pPr>
    </w:p>
    <w:p w:rsidR="001528D1" w:rsidRDefault="001528D1" w:rsidP="001528D1">
      <w:pPr>
        <w:spacing w:line="460" w:lineRule="exact"/>
        <w:rPr>
          <w:rFonts w:ascii="方正仿宋简体" w:eastAsia="方正仿宋简体"/>
          <w:sz w:val="32"/>
          <w:szCs w:val="32"/>
        </w:rPr>
      </w:pPr>
    </w:p>
    <w:p w:rsidR="001528D1" w:rsidRPr="00722788" w:rsidRDefault="001528D1" w:rsidP="001528D1">
      <w:pPr>
        <w:spacing w:line="460" w:lineRule="exact"/>
        <w:jc w:val="center"/>
        <w:rPr>
          <w:rFonts w:ascii="黑体" w:eastAsia="黑体" w:hint="eastAsia"/>
          <w:sz w:val="32"/>
          <w:szCs w:val="32"/>
        </w:rPr>
      </w:pPr>
      <w:r w:rsidRPr="00722788">
        <w:rPr>
          <w:rFonts w:ascii="黑体" w:eastAsia="黑体" w:hint="eastAsia"/>
          <w:sz w:val="32"/>
          <w:szCs w:val="32"/>
        </w:rPr>
        <w:t>（三）</w:t>
      </w:r>
      <w:r w:rsidRPr="00EA5011">
        <w:rPr>
          <w:rFonts w:ascii="黑体" w:eastAsia="黑体" w:hint="eastAsia"/>
          <w:spacing w:val="60"/>
          <w:sz w:val="32"/>
          <w:szCs w:val="32"/>
        </w:rPr>
        <w:t>财政预决算类</w:t>
      </w:r>
    </w:p>
    <w:p w:rsidR="001528D1" w:rsidRDefault="001528D1" w:rsidP="001528D1">
      <w:pPr>
        <w:spacing w:line="300" w:lineRule="exact"/>
        <w:rPr>
          <w:rFonts w:ascii="方正仿宋简体" w:eastAsia="方正仿宋简体"/>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DA6FE6" w:rsidTr="00CB7AD5">
        <w:trPr>
          <w:trHeight w:val="1337"/>
        </w:trPr>
        <w:tc>
          <w:tcPr>
            <w:tcW w:w="1560" w:type="dxa"/>
            <w:shd w:val="clear" w:color="auto" w:fill="auto"/>
            <w:vAlign w:val="center"/>
          </w:tcPr>
          <w:p w:rsidR="001528D1" w:rsidRPr="005263E0" w:rsidRDefault="001528D1" w:rsidP="00CB7AD5">
            <w:pPr>
              <w:spacing w:line="460" w:lineRule="exact"/>
              <w:jc w:val="center"/>
              <w:rPr>
                <w:rFonts w:ascii="黑体" w:eastAsia="黑体" w:hAnsi="黑体" w:hint="eastAsia"/>
                <w:sz w:val="28"/>
                <w:szCs w:val="28"/>
              </w:rPr>
            </w:pPr>
            <w:r w:rsidRPr="005263E0">
              <w:rPr>
                <w:rFonts w:ascii="黑体" w:eastAsia="黑体" w:hAnsi="黑体" w:hint="eastAsia"/>
                <w:sz w:val="28"/>
                <w:szCs w:val="28"/>
              </w:rPr>
              <w:lastRenderedPageBreak/>
              <w:t>事项名称</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Ansi="黑体" w:hint="eastAsia"/>
                <w:sz w:val="28"/>
                <w:szCs w:val="28"/>
              </w:rPr>
            </w:pPr>
            <w:r w:rsidRPr="005263E0">
              <w:rPr>
                <w:rFonts w:ascii="仿宋_GB2312" w:eastAsia="仿宋_GB2312" w:hAnsi="黑体" w:hint="eastAsia"/>
                <w:sz w:val="28"/>
                <w:szCs w:val="28"/>
              </w:rPr>
              <w:t>财政预决算</w:t>
            </w:r>
          </w:p>
        </w:tc>
      </w:tr>
      <w:tr w:rsidR="001528D1" w:rsidRPr="00DA6FE6" w:rsidTr="00CB7AD5">
        <w:trPr>
          <w:trHeight w:val="1422"/>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公开依据</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w:t>
            </w:r>
          </w:p>
        </w:tc>
      </w:tr>
      <w:tr w:rsidR="001528D1" w:rsidRPr="00DA6FE6" w:rsidTr="00CB7AD5">
        <w:trPr>
          <w:trHeight w:val="2970"/>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公开内容</w:t>
            </w:r>
          </w:p>
        </w:tc>
        <w:tc>
          <w:tcPr>
            <w:tcW w:w="7392" w:type="dxa"/>
            <w:shd w:val="clear" w:color="auto" w:fill="auto"/>
            <w:vAlign w:val="center"/>
          </w:tcPr>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1.旗县级财政专项支出的政策、资金来源（按比例或数额）、分配标准以及到苏木乡镇、部门的分配结果</w:t>
            </w:r>
          </w:p>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2.苏木乡镇、街道办事处财政专项支出的政策、资金来源（按比例或数额）、发放标准、发放形式、到人（户）到项目的分配结果（详细公开分配到人（户）的姓名、地址、金额等）</w:t>
            </w:r>
          </w:p>
        </w:tc>
      </w:tr>
      <w:tr w:rsidR="001528D1" w:rsidRPr="00DA6FE6" w:rsidTr="00CB7AD5">
        <w:trPr>
          <w:trHeight w:val="1566"/>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公开主体</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×××财政局</w:t>
            </w:r>
          </w:p>
        </w:tc>
      </w:tr>
      <w:tr w:rsidR="001528D1" w:rsidRPr="00DA6FE6" w:rsidTr="00CB7AD5">
        <w:trPr>
          <w:trHeight w:val="1546"/>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自本级人民代表大会或其常务委员会批准后20日内</w:t>
            </w:r>
          </w:p>
        </w:tc>
      </w:tr>
      <w:tr w:rsidR="001528D1" w:rsidRPr="00DA6FE6" w:rsidTr="00CB7AD5">
        <w:trPr>
          <w:trHeight w:val="1539"/>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××旗县（市、区）政府门户网站（公报）、政务服务大厅、社区公示栏等</w:t>
            </w:r>
          </w:p>
        </w:tc>
      </w:tr>
      <w:tr w:rsidR="001528D1" w:rsidRPr="00DA6FE6" w:rsidTr="00CB7AD5">
        <w:trPr>
          <w:trHeight w:val="1420"/>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
          <w:p w:rsidR="001528D1" w:rsidRPr="005263E0" w:rsidRDefault="001528D1" w:rsidP="00CB7AD5">
            <w:pPr>
              <w:spacing w:line="400" w:lineRule="exact"/>
              <w:jc w:val="left"/>
              <w:rPr>
                <w:rFonts w:ascii="仿宋_GB2312" w:eastAsia="仿宋_GB2312" w:hint="eastAsia"/>
                <w:sz w:val="28"/>
                <w:szCs w:val="28"/>
              </w:rPr>
            </w:pPr>
          </w:p>
        </w:tc>
      </w:tr>
    </w:tbl>
    <w:p w:rsidR="001528D1" w:rsidRPr="00722788" w:rsidRDefault="001528D1" w:rsidP="001528D1">
      <w:pPr>
        <w:spacing w:line="460" w:lineRule="exact"/>
        <w:jc w:val="center"/>
        <w:rPr>
          <w:rFonts w:ascii="黑体" w:eastAsia="黑体" w:hint="eastAsia"/>
          <w:sz w:val="32"/>
          <w:szCs w:val="32"/>
        </w:rPr>
      </w:pPr>
      <w:r w:rsidRPr="00722788">
        <w:rPr>
          <w:rFonts w:ascii="黑体" w:eastAsia="黑体" w:hint="eastAsia"/>
          <w:sz w:val="32"/>
          <w:szCs w:val="32"/>
        </w:rPr>
        <w:t>（四）</w:t>
      </w:r>
      <w:r w:rsidRPr="00EA5011">
        <w:rPr>
          <w:rFonts w:ascii="黑体" w:eastAsia="黑体" w:hint="eastAsia"/>
          <w:spacing w:val="60"/>
          <w:sz w:val="32"/>
          <w:szCs w:val="32"/>
        </w:rPr>
        <w:t>税收管理类</w:t>
      </w:r>
    </w:p>
    <w:p w:rsidR="001528D1" w:rsidRDefault="001528D1" w:rsidP="001528D1">
      <w:pPr>
        <w:spacing w:line="300" w:lineRule="exact"/>
        <w:rPr>
          <w:rFonts w:ascii="方正仿宋简体" w:eastAsia="方正仿宋简体"/>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DA6FE6" w:rsidTr="00CB7AD5">
        <w:trPr>
          <w:trHeight w:val="1479"/>
        </w:trPr>
        <w:tc>
          <w:tcPr>
            <w:tcW w:w="1560" w:type="dxa"/>
            <w:shd w:val="clear" w:color="auto" w:fill="auto"/>
            <w:vAlign w:val="center"/>
          </w:tcPr>
          <w:p w:rsidR="001528D1" w:rsidRPr="005263E0" w:rsidRDefault="001528D1" w:rsidP="00CB7AD5">
            <w:pPr>
              <w:spacing w:line="460" w:lineRule="exact"/>
              <w:jc w:val="center"/>
              <w:rPr>
                <w:rFonts w:ascii="黑体" w:eastAsia="黑体" w:hAnsi="黑体" w:hint="eastAsia"/>
                <w:sz w:val="28"/>
                <w:szCs w:val="28"/>
              </w:rPr>
            </w:pPr>
            <w:r w:rsidRPr="005263E0">
              <w:rPr>
                <w:rFonts w:ascii="黑体" w:eastAsia="黑体" w:hAnsi="黑体" w:hint="eastAsia"/>
                <w:sz w:val="28"/>
                <w:szCs w:val="28"/>
              </w:rPr>
              <w:lastRenderedPageBreak/>
              <w:t>事项名称</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Ansi="黑体" w:hint="eastAsia"/>
                <w:sz w:val="28"/>
                <w:szCs w:val="28"/>
              </w:rPr>
            </w:pPr>
            <w:r w:rsidRPr="005263E0">
              <w:rPr>
                <w:rFonts w:ascii="仿宋_GB2312" w:eastAsia="仿宋_GB2312" w:hAnsi="黑体" w:hint="eastAsia"/>
                <w:sz w:val="28"/>
                <w:szCs w:val="28"/>
              </w:rPr>
              <w:t>税收管理</w:t>
            </w:r>
          </w:p>
        </w:tc>
      </w:tr>
      <w:tr w:rsidR="001528D1" w:rsidRPr="00DA6FE6" w:rsidTr="00CB7AD5">
        <w:trPr>
          <w:trHeight w:val="1566"/>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公开依据</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相关法律、法规、规章、标准及规范性文件（包括税收政策法规和税收征管制度）</w:t>
            </w:r>
          </w:p>
        </w:tc>
      </w:tr>
      <w:tr w:rsidR="001528D1" w:rsidRPr="00DA6FE6" w:rsidTr="00CB7AD5">
        <w:trPr>
          <w:trHeight w:val="2383"/>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公开内容</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1.办税指南：税务登记、纳税申报、发票管理等相关规定</w:t>
            </w:r>
          </w:p>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2.税务稽查情况：稽查规章部署、涉税案件曝光</w:t>
            </w:r>
          </w:p>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3.税收收入统计数据：历年税收收入总数、分地区税收收入数据</w:t>
            </w:r>
          </w:p>
        </w:tc>
      </w:tr>
      <w:tr w:rsidR="001528D1" w:rsidRPr="00DA6FE6" w:rsidTr="00CB7AD5">
        <w:trPr>
          <w:trHeight w:val="1547"/>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公开主体</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×××地方税务局、×××国家税务局</w:t>
            </w:r>
          </w:p>
        </w:tc>
      </w:tr>
      <w:tr w:rsidR="001528D1" w:rsidRPr="00DA6FE6" w:rsidTr="00CB7AD5">
        <w:trPr>
          <w:trHeight w:val="1542"/>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自相关信息制发之日起20个工作日内</w:t>
            </w:r>
          </w:p>
        </w:tc>
      </w:tr>
      <w:tr w:rsidR="001528D1" w:rsidRPr="00DA6FE6" w:rsidTr="00CB7AD5">
        <w:trPr>
          <w:trHeight w:val="1550"/>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××旗县（市、区）政府门户网站（公报）、当地主要媒体</w:t>
            </w:r>
          </w:p>
        </w:tc>
      </w:tr>
      <w:tr w:rsidR="001528D1" w:rsidRPr="00DA6FE6" w:rsidTr="00CB7AD5">
        <w:trPr>
          <w:trHeight w:val="1686"/>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
          <w:p w:rsidR="001528D1" w:rsidRPr="005263E0" w:rsidRDefault="001528D1" w:rsidP="00CB7AD5">
            <w:pPr>
              <w:spacing w:line="400" w:lineRule="exact"/>
              <w:jc w:val="left"/>
              <w:rPr>
                <w:rFonts w:ascii="仿宋_GB2312" w:eastAsia="仿宋_GB2312" w:hint="eastAsia"/>
                <w:sz w:val="28"/>
                <w:szCs w:val="28"/>
              </w:rPr>
            </w:pPr>
          </w:p>
        </w:tc>
      </w:tr>
    </w:tbl>
    <w:p w:rsidR="001528D1" w:rsidRPr="00722788" w:rsidRDefault="001528D1" w:rsidP="001528D1">
      <w:pPr>
        <w:spacing w:line="460" w:lineRule="exact"/>
        <w:jc w:val="center"/>
        <w:rPr>
          <w:rFonts w:ascii="黑体" w:eastAsia="黑体" w:hint="eastAsia"/>
          <w:sz w:val="32"/>
          <w:szCs w:val="32"/>
        </w:rPr>
      </w:pPr>
      <w:r w:rsidRPr="00722788">
        <w:rPr>
          <w:rFonts w:ascii="黑体" w:eastAsia="黑体" w:hint="eastAsia"/>
          <w:sz w:val="32"/>
          <w:szCs w:val="32"/>
        </w:rPr>
        <w:t>（五）</w:t>
      </w:r>
      <w:r w:rsidRPr="00EA5011">
        <w:rPr>
          <w:rFonts w:ascii="黑体" w:eastAsia="黑体" w:hint="eastAsia"/>
          <w:spacing w:val="60"/>
          <w:sz w:val="32"/>
          <w:szCs w:val="32"/>
        </w:rPr>
        <w:t>环境保护类</w:t>
      </w:r>
    </w:p>
    <w:p w:rsidR="001528D1" w:rsidRDefault="001528D1" w:rsidP="001528D1">
      <w:pPr>
        <w:spacing w:line="300" w:lineRule="exact"/>
        <w:rPr>
          <w:rFonts w:ascii="方正仿宋简体" w:eastAsia="方正仿宋简体"/>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DA6FE6" w:rsidTr="00CB7AD5">
        <w:trPr>
          <w:trHeight w:val="638"/>
        </w:trPr>
        <w:tc>
          <w:tcPr>
            <w:tcW w:w="1560" w:type="dxa"/>
            <w:shd w:val="clear" w:color="auto" w:fill="auto"/>
            <w:vAlign w:val="center"/>
          </w:tcPr>
          <w:p w:rsidR="001528D1" w:rsidRPr="005263E0" w:rsidRDefault="001528D1" w:rsidP="00CB7AD5">
            <w:pPr>
              <w:spacing w:line="460" w:lineRule="exact"/>
              <w:jc w:val="center"/>
              <w:rPr>
                <w:rFonts w:ascii="黑体" w:eastAsia="黑体" w:hAnsi="黑体" w:hint="eastAsia"/>
                <w:sz w:val="28"/>
                <w:szCs w:val="28"/>
              </w:rPr>
            </w:pPr>
            <w:r w:rsidRPr="005263E0">
              <w:rPr>
                <w:rFonts w:ascii="黑体" w:eastAsia="黑体" w:hAnsi="黑体" w:hint="eastAsia"/>
                <w:sz w:val="28"/>
                <w:szCs w:val="28"/>
              </w:rPr>
              <w:t>事项名称</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Ansi="黑体" w:hint="eastAsia"/>
                <w:sz w:val="28"/>
                <w:szCs w:val="28"/>
              </w:rPr>
            </w:pPr>
            <w:r w:rsidRPr="005263E0">
              <w:rPr>
                <w:rFonts w:ascii="仿宋_GB2312" w:eastAsia="仿宋_GB2312" w:hAnsi="黑体" w:hint="eastAsia"/>
                <w:sz w:val="28"/>
                <w:szCs w:val="28"/>
              </w:rPr>
              <w:t>环境保护</w:t>
            </w:r>
          </w:p>
        </w:tc>
      </w:tr>
      <w:tr w:rsidR="001528D1" w:rsidRPr="00DA6FE6" w:rsidTr="00CB7AD5">
        <w:trPr>
          <w:trHeight w:val="632"/>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公开依据</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w:t>
            </w:r>
          </w:p>
        </w:tc>
      </w:tr>
      <w:tr w:rsidR="001528D1" w:rsidRPr="00DA6FE6" w:rsidTr="00CB7AD5">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lastRenderedPageBreak/>
              <w:t>公开内容</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1.环境保护规划</w:t>
            </w:r>
          </w:p>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2.环境统计和环境调查信息</w:t>
            </w:r>
          </w:p>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3.突发环境事件的应急预案、预报、发生和处置等情况</w:t>
            </w:r>
          </w:p>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4.主要污染物排放总量指标分配及落实情况，排污许可证发放情况，环境综合整治定量考核结果</w:t>
            </w:r>
          </w:p>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5.固体废物的种类、产生量、处置状况等信息</w:t>
            </w:r>
          </w:p>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6.建设项目环境影响评价文件受理情况，受理的环境影响评价文件的审批结果，其他环境保护行政许可的项目、依据、条件、程序和结果</w:t>
            </w:r>
          </w:p>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7.排污费征收的项目、依据、标准和程序，排污者应当缴纳的排污费数额、实际征收数额及减免缓情况</w:t>
            </w:r>
          </w:p>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8.环保行政事业性收费的项目、依据、标准和程序</w:t>
            </w:r>
          </w:p>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9.经调查核实的公众对环境问题或对企业污染环境的信访、投诉案件及其处理结果</w:t>
            </w:r>
          </w:p>
          <w:p w:rsidR="001528D1" w:rsidRPr="005263E0" w:rsidRDefault="001528D1" w:rsidP="00CB7AD5">
            <w:pPr>
              <w:spacing w:line="400" w:lineRule="exact"/>
              <w:ind w:left="420" w:hangingChars="150" w:hanging="420"/>
              <w:jc w:val="left"/>
              <w:rPr>
                <w:rFonts w:ascii="仿宋_GB2312" w:eastAsia="仿宋_GB2312" w:hint="eastAsia"/>
                <w:sz w:val="28"/>
                <w:szCs w:val="28"/>
              </w:rPr>
            </w:pPr>
            <w:r w:rsidRPr="005263E0">
              <w:rPr>
                <w:rFonts w:ascii="仿宋_GB2312" w:eastAsia="仿宋_GB2312" w:hint="eastAsia"/>
                <w:sz w:val="28"/>
                <w:szCs w:val="28"/>
              </w:rPr>
              <w:t>10.环境行政处罚、行政复议、行政诉讼和实施行政强制措施的情况</w:t>
            </w:r>
          </w:p>
          <w:p w:rsidR="001528D1" w:rsidRPr="005263E0" w:rsidRDefault="001528D1" w:rsidP="00CB7AD5">
            <w:pPr>
              <w:spacing w:line="400" w:lineRule="exact"/>
              <w:ind w:left="420" w:hangingChars="150" w:hanging="420"/>
              <w:jc w:val="left"/>
              <w:rPr>
                <w:rFonts w:ascii="仿宋_GB2312" w:eastAsia="仿宋_GB2312" w:hint="eastAsia"/>
                <w:sz w:val="28"/>
                <w:szCs w:val="28"/>
              </w:rPr>
            </w:pPr>
            <w:r w:rsidRPr="005263E0">
              <w:rPr>
                <w:rFonts w:ascii="仿宋_GB2312" w:eastAsia="仿宋_GB2312" w:hint="eastAsia"/>
                <w:sz w:val="28"/>
                <w:szCs w:val="28"/>
              </w:rPr>
              <w:t>11.污染物排放超过国家或地方排放标准，或者污染物排放总量超过地方政府核定的排放总量控制指标的污染严重的企业名单</w:t>
            </w:r>
          </w:p>
          <w:p w:rsidR="001528D1" w:rsidRPr="005263E0" w:rsidRDefault="001528D1" w:rsidP="00CB7AD5">
            <w:pPr>
              <w:spacing w:line="400" w:lineRule="exact"/>
              <w:ind w:left="420" w:hangingChars="150" w:hanging="420"/>
              <w:jc w:val="left"/>
              <w:rPr>
                <w:rFonts w:ascii="仿宋_GB2312" w:eastAsia="仿宋_GB2312" w:hint="eastAsia"/>
                <w:sz w:val="28"/>
                <w:szCs w:val="28"/>
              </w:rPr>
            </w:pPr>
            <w:r w:rsidRPr="005263E0">
              <w:rPr>
                <w:rFonts w:ascii="仿宋_GB2312" w:eastAsia="仿宋_GB2312" w:hint="eastAsia"/>
                <w:sz w:val="28"/>
                <w:szCs w:val="28"/>
              </w:rPr>
              <w:t>12.发生重大、特大环境污染事故或事件的企业名单，拒不执行已生效的环境行政处罚决定的企业名单</w:t>
            </w:r>
          </w:p>
        </w:tc>
      </w:tr>
      <w:tr w:rsidR="001528D1" w:rsidRPr="00DA6FE6" w:rsidTr="00CB7AD5">
        <w:trPr>
          <w:trHeight w:val="505"/>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公开主体</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×××环保局</w:t>
            </w:r>
          </w:p>
        </w:tc>
      </w:tr>
      <w:tr w:rsidR="001528D1" w:rsidRPr="00DA6FE6" w:rsidTr="00CB7AD5">
        <w:trPr>
          <w:trHeight w:val="569"/>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自相关信息制发之日起20个工作日内</w:t>
            </w:r>
          </w:p>
        </w:tc>
      </w:tr>
      <w:tr w:rsidR="001528D1" w:rsidRPr="00DA6FE6" w:rsidTr="00CB7AD5">
        <w:trPr>
          <w:trHeight w:val="563"/>
        </w:trPr>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××旗县（市、区）政府门户网站（公报）、当地主要媒体</w:t>
            </w:r>
          </w:p>
        </w:tc>
      </w:tr>
      <w:tr w:rsidR="001528D1" w:rsidRPr="00DA6FE6" w:rsidTr="00CB7AD5">
        <w:tc>
          <w:tcPr>
            <w:tcW w:w="1560" w:type="dxa"/>
            <w:shd w:val="clear" w:color="auto" w:fill="auto"/>
            <w:vAlign w:val="center"/>
          </w:tcPr>
          <w:p w:rsidR="001528D1" w:rsidRPr="005263E0" w:rsidRDefault="001528D1" w:rsidP="00CB7AD5">
            <w:pPr>
              <w:spacing w:line="46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
          <w:p w:rsidR="001528D1" w:rsidRPr="005263E0" w:rsidRDefault="001528D1" w:rsidP="00CB7AD5">
            <w:pPr>
              <w:spacing w:line="400" w:lineRule="exact"/>
              <w:jc w:val="left"/>
              <w:rPr>
                <w:rFonts w:ascii="仿宋_GB2312" w:eastAsia="仿宋_GB2312" w:hint="eastAsia"/>
                <w:sz w:val="28"/>
                <w:szCs w:val="28"/>
              </w:rPr>
            </w:pPr>
          </w:p>
        </w:tc>
      </w:tr>
    </w:tbl>
    <w:p w:rsidR="001528D1" w:rsidRPr="00722788" w:rsidRDefault="001528D1" w:rsidP="001528D1">
      <w:pPr>
        <w:spacing w:line="460" w:lineRule="exact"/>
        <w:jc w:val="center"/>
        <w:rPr>
          <w:rFonts w:ascii="黑体" w:eastAsia="黑体" w:hint="eastAsia"/>
          <w:sz w:val="32"/>
          <w:szCs w:val="32"/>
        </w:rPr>
      </w:pPr>
      <w:r w:rsidRPr="00722788">
        <w:rPr>
          <w:rFonts w:ascii="黑体" w:eastAsia="黑体" w:hint="eastAsia"/>
          <w:sz w:val="32"/>
          <w:szCs w:val="32"/>
        </w:rPr>
        <w:t>（六）</w:t>
      </w:r>
      <w:r w:rsidRPr="00EA5011">
        <w:rPr>
          <w:rFonts w:ascii="黑体" w:eastAsia="黑体" w:hint="eastAsia"/>
          <w:spacing w:val="60"/>
          <w:sz w:val="32"/>
          <w:szCs w:val="32"/>
        </w:rPr>
        <w:t>食品药品监管类</w:t>
      </w:r>
    </w:p>
    <w:p w:rsidR="001528D1" w:rsidRDefault="001528D1" w:rsidP="001528D1">
      <w:pPr>
        <w:spacing w:line="300" w:lineRule="exact"/>
        <w:rPr>
          <w:rFonts w:ascii="方正仿宋简体" w:eastAsia="方正仿宋简体"/>
          <w:sz w:val="32"/>
          <w:szCs w:val="32"/>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2D2925" w:rsidTr="00CB7AD5">
        <w:trPr>
          <w:trHeight w:val="1479"/>
          <w:jc w:val="center"/>
        </w:trPr>
        <w:tc>
          <w:tcPr>
            <w:tcW w:w="1560" w:type="dxa"/>
            <w:shd w:val="clear" w:color="auto" w:fill="auto"/>
            <w:vAlign w:val="center"/>
          </w:tcPr>
          <w:p w:rsidR="001528D1" w:rsidRPr="005263E0" w:rsidRDefault="001528D1" w:rsidP="00CB7AD5">
            <w:pPr>
              <w:spacing w:line="400" w:lineRule="exact"/>
              <w:jc w:val="center"/>
              <w:rPr>
                <w:rFonts w:ascii="黑体" w:eastAsia="黑体" w:hAnsi="黑体" w:hint="eastAsia"/>
                <w:sz w:val="28"/>
                <w:szCs w:val="28"/>
              </w:rPr>
            </w:pPr>
            <w:r w:rsidRPr="005263E0">
              <w:rPr>
                <w:rFonts w:ascii="黑体" w:eastAsia="黑体" w:hAnsi="黑体" w:hint="eastAsia"/>
                <w:sz w:val="28"/>
                <w:szCs w:val="28"/>
              </w:rPr>
              <w:t>事项名称</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Ansi="黑体" w:hint="eastAsia"/>
                <w:sz w:val="28"/>
                <w:szCs w:val="28"/>
              </w:rPr>
            </w:pPr>
            <w:r w:rsidRPr="005263E0">
              <w:rPr>
                <w:rFonts w:ascii="仿宋_GB2312" w:eastAsia="仿宋_GB2312" w:hAnsi="黑体" w:hint="eastAsia"/>
                <w:sz w:val="28"/>
                <w:szCs w:val="28"/>
              </w:rPr>
              <w:t>食品药品监管</w:t>
            </w:r>
          </w:p>
        </w:tc>
      </w:tr>
      <w:tr w:rsidR="001528D1" w:rsidRPr="002D2925" w:rsidTr="00CB7AD5">
        <w:trPr>
          <w:trHeight w:val="1424"/>
          <w:jc w:val="center"/>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lastRenderedPageBreak/>
              <w:t>公开依据</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w:t>
            </w:r>
          </w:p>
        </w:tc>
      </w:tr>
      <w:tr w:rsidR="001528D1" w:rsidRPr="002D2925" w:rsidTr="00CB7AD5">
        <w:trPr>
          <w:trHeight w:val="3528"/>
          <w:jc w:val="center"/>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公开内容</w:t>
            </w:r>
          </w:p>
        </w:tc>
        <w:tc>
          <w:tcPr>
            <w:tcW w:w="7392" w:type="dxa"/>
            <w:shd w:val="clear" w:color="auto" w:fill="auto"/>
            <w:vAlign w:val="center"/>
          </w:tcPr>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1.行政许可申办须知、办事指南、送达信息、在线服务、综合事项查询</w:t>
            </w:r>
          </w:p>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2.食品（餐饮服务、食品流通，不包括食品添加剂）审批监督检查信息，药品、医疗器械监督检查信息</w:t>
            </w:r>
          </w:p>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3.食品药品监管统计</w:t>
            </w:r>
          </w:p>
          <w:p w:rsidR="001528D1" w:rsidRPr="005263E0" w:rsidRDefault="001528D1" w:rsidP="00CB7AD5">
            <w:pPr>
              <w:spacing w:line="400" w:lineRule="exact"/>
              <w:ind w:left="280" w:hangingChars="100" w:hanging="280"/>
              <w:jc w:val="left"/>
              <w:rPr>
                <w:rFonts w:ascii="仿宋_GB2312" w:eastAsia="仿宋_GB2312" w:hint="eastAsia"/>
                <w:sz w:val="28"/>
                <w:szCs w:val="28"/>
              </w:rPr>
            </w:pPr>
            <w:r w:rsidRPr="005263E0">
              <w:rPr>
                <w:rFonts w:ascii="仿宋_GB2312" w:eastAsia="仿宋_GB2312" w:hint="eastAsia"/>
                <w:sz w:val="28"/>
                <w:szCs w:val="28"/>
              </w:rPr>
              <w:t>4.集中整治、专项行动等食品药品安全重点、热点工作专题栏目</w:t>
            </w:r>
          </w:p>
        </w:tc>
      </w:tr>
      <w:tr w:rsidR="001528D1" w:rsidRPr="002D2925" w:rsidTr="00CB7AD5">
        <w:trPr>
          <w:trHeight w:val="1268"/>
          <w:jc w:val="center"/>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公开主体</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×××食品药品监管局</w:t>
            </w:r>
          </w:p>
        </w:tc>
      </w:tr>
      <w:tr w:rsidR="001528D1" w:rsidRPr="002D2925" w:rsidTr="00CB7AD5">
        <w:trPr>
          <w:trHeight w:val="1400"/>
          <w:jc w:val="center"/>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自信息制发之日起20个工作日内</w:t>
            </w:r>
          </w:p>
        </w:tc>
      </w:tr>
      <w:tr w:rsidR="001528D1" w:rsidRPr="002D2925" w:rsidTr="00CB7AD5">
        <w:trPr>
          <w:trHeight w:val="1420"/>
          <w:jc w:val="center"/>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××旗县（市、区）政府门户网站（公报）、当地主要媒体</w:t>
            </w:r>
          </w:p>
        </w:tc>
      </w:tr>
      <w:tr w:rsidR="001528D1" w:rsidRPr="002D2925" w:rsidTr="00CB7AD5">
        <w:trPr>
          <w:trHeight w:val="1412"/>
          <w:jc w:val="center"/>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
          <w:p w:rsidR="001528D1" w:rsidRPr="005263E0" w:rsidRDefault="001528D1" w:rsidP="00CB7AD5">
            <w:pPr>
              <w:spacing w:line="400" w:lineRule="exact"/>
              <w:jc w:val="left"/>
              <w:rPr>
                <w:rFonts w:ascii="仿宋_GB2312" w:eastAsia="仿宋_GB2312" w:hint="eastAsia"/>
                <w:sz w:val="28"/>
                <w:szCs w:val="28"/>
              </w:rPr>
            </w:pPr>
          </w:p>
        </w:tc>
      </w:tr>
    </w:tbl>
    <w:p w:rsidR="001528D1" w:rsidRPr="00722788" w:rsidRDefault="001528D1" w:rsidP="001528D1">
      <w:pPr>
        <w:spacing w:line="460" w:lineRule="exact"/>
        <w:jc w:val="center"/>
        <w:rPr>
          <w:rFonts w:ascii="黑体" w:eastAsia="黑体" w:hint="eastAsia"/>
          <w:sz w:val="32"/>
          <w:szCs w:val="32"/>
        </w:rPr>
      </w:pPr>
      <w:r w:rsidRPr="00722788">
        <w:rPr>
          <w:rFonts w:ascii="黑体" w:eastAsia="黑体" w:hint="eastAsia"/>
          <w:sz w:val="32"/>
          <w:szCs w:val="32"/>
        </w:rPr>
        <w:t>（七）</w:t>
      </w:r>
      <w:r w:rsidRPr="00EA5011">
        <w:rPr>
          <w:rFonts w:ascii="黑体" w:eastAsia="黑体" w:hint="eastAsia"/>
          <w:spacing w:val="60"/>
          <w:sz w:val="32"/>
          <w:szCs w:val="32"/>
        </w:rPr>
        <w:t>安全生产类</w:t>
      </w:r>
    </w:p>
    <w:p w:rsidR="001528D1" w:rsidRDefault="001528D1" w:rsidP="001528D1">
      <w:pPr>
        <w:spacing w:line="300" w:lineRule="exact"/>
        <w:rPr>
          <w:rFonts w:ascii="方正仿宋简体" w:eastAsia="方正仿宋简体"/>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7E4DCC" w:rsidTr="00CB7AD5">
        <w:trPr>
          <w:trHeight w:val="1478"/>
        </w:trPr>
        <w:tc>
          <w:tcPr>
            <w:tcW w:w="1560" w:type="dxa"/>
            <w:shd w:val="clear" w:color="auto" w:fill="auto"/>
            <w:vAlign w:val="center"/>
          </w:tcPr>
          <w:p w:rsidR="001528D1" w:rsidRPr="005263E0" w:rsidRDefault="001528D1" w:rsidP="00CB7AD5">
            <w:pPr>
              <w:spacing w:line="400" w:lineRule="exact"/>
              <w:jc w:val="center"/>
              <w:rPr>
                <w:rFonts w:ascii="黑体" w:eastAsia="黑体" w:hAnsi="黑体" w:hint="eastAsia"/>
                <w:sz w:val="28"/>
                <w:szCs w:val="28"/>
              </w:rPr>
            </w:pPr>
            <w:r w:rsidRPr="005263E0">
              <w:rPr>
                <w:rFonts w:ascii="黑体" w:eastAsia="黑体" w:hAnsi="黑体" w:hint="eastAsia"/>
                <w:sz w:val="28"/>
                <w:szCs w:val="28"/>
              </w:rPr>
              <w:t>事项名称</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Ansi="黑体" w:hint="eastAsia"/>
                <w:sz w:val="28"/>
                <w:szCs w:val="28"/>
              </w:rPr>
            </w:pPr>
            <w:r w:rsidRPr="005263E0">
              <w:rPr>
                <w:rFonts w:ascii="仿宋_GB2312" w:eastAsia="仿宋_GB2312" w:hAnsi="黑体" w:hint="eastAsia"/>
                <w:sz w:val="28"/>
                <w:szCs w:val="28"/>
              </w:rPr>
              <w:t>安全生产</w:t>
            </w:r>
          </w:p>
        </w:tc>
      </w:tr>
      <w:tr w:rsidR="001528D1" w:rsidRPr="007E4DCC" w:rsidTr="00CB7AD5">
        <w:trPr>
          <w:trHeight w:val="1566"/>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lastRenderedPageBreak/>
              <w:t>公开依据</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w:t>
            </w:r>
          </w:p>
        </w:tc>
      </w:tr>
      <w:tr w:rsidR="001528D1" w:rsidRPr="007E4DCC" w:rsidTr="00CB7AD5">
        <w:trPr>
          <w:trHeight w:val="2255"/>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公开内容</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行政执法、煤矿、非煤矿山、交通消防建筑、危险化学品（包括烟花爆竹）、工商贸、职业健康、事故处理与挂牌督办、应急管理、灾害预警及事故警示等方面信息</w:t>
            </w:r>
          </w:p>
        </w:tc>
      </w:tr>
      <w:tr w:rsidR="001528D1" w:rsidRPr="007E4DCC" w:rsidTr="00CB7AD5">
        <w:trPr>
          <w:trHeight w:val="1692"/>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公开主体</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×××安全生产监管局等相关职能部门</w:t>
            </w:r>
          </w:p>
        </w:tc>
      </w:tr>
      <w:tr w:rsidR="001528D1" w:rsidRPr="007E4DCC" w:rsidTr="00CB7AD5">
        <w:trPr>
          <w:trHeight w:val="1688"/>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自相关信息制发之日起20个工作日内</w:t>
            </w:r>
          </w:p>
        </w:tc>
      </w:tr>
      <w:tr w:rsidR="001528D1" w:rsidRPr="007E4DCC" w:rsidTr="00CB7AD5">
        <w:trPr>
          <w:trHeight w:val="1698"/>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××旗县（市、区）政府门户网站（公报）、当地主要媒体</w:t>
            </w:r>
          </w:p>
        </w:tc>
      </w:tr>
      <w:tr w:rsidR="001528D1" w:rsidRPr="007E4DCC" w:rsidTr="00CB7AD5">
        <w:trPr>
          <w:trHeight w:val="1680"/>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
          <w:p w:rsidR="001528D1" w:rsidRPr="005263E0" w:rsidRDefault="001528D1" w:rsidP="00CB7AD5">
            <w:pPr>
              <w:spacing w:line="400" w:lineRule="exact"/>
              <w:jc w:val="left"/>
              <w:rPr>
                <w:rFonts w:ascii="仿宋_GB2312" w:eastAsia="仿宋_GB2312" w:hint="eastAsia"/>
                <w:sz w:val="28"/>
                <w:szCs w:val="28"/>
              </w:rPr>
            </w:pPr>
          </w:p>
        </w:tc>
      </w:tr>
    </w:tbl>
    <w:p w:rsidR="001528D1" w:rsidRPr="00EA5011" w:rsidRDefault="001528D1" w:rsidP="001528D1">
      <w:pPr>
        <w:spacing w:line="460" w:lineRule="exact"/>
        <w:jc w:val="center"/>
        <w:rPr>
          <w:rFonts w:ascii="黑体" w:eastAsia="黑体" w:hint="eastAsia"/>
          <w:spacing w:val="60"/>
          <w:sz w:val="32"/>
          <w:szCs w:val="32"/>
        </w:rPr>
      </w:pPr>
      <w:r w:rsidRPr="00722788">
        <w:rPr>
          <w:rFonts w:ascii="黑体" w:eastAsia="黑体" w:hint="eastAsia"/>
          <w:sz w:val="32"/>
          <w:szCs w:val="32"/>
        </w:rPr>
        <w:t>（八）</w:t>
      </w:r>
      <w:r w:rsidRPr="00EA5011">
        <w:rPr>
          <w:rFonts w:ascii="黑体" w:eastAsia="黑体" w:hint="eastAsia"/>
          <w:spacing w:val="60"/>
          <w:sz w:val="32"/>
          <w:szCs w:val="32"/>
        </w:rPr>
        <w:t>公共文化服务类</w:t>
      </w:r>
    </w:p>
    <w:p w:rsidR="001528D1" w:rsidRDefault="001528D1" w:rsidP="001528D1">
      <w:pPr>
        <w:spacing w:line="400" w:lineRule="exact"/>
        <w:rPr>
          <w:rFonts w:ascii="方正仿宋简体" w:eastAsia="方正仿宋简体"/>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A20345" w:rsidTr="00CB7AD5">
        <w:trPr>
          <w:trHeight w:val="1536"/>
        </w:trPr>
        <w:tc>
          <w:tcPr>
            <w:tcW w:w="1560" w:type="dxa"/>
            <w:shd w:val="clear" w:color="auto" w:fill="auto"/>
            <w:vAlign w:val="center"/>
          </w:tcPr>
          <w:p w:rsidR="001528D1" w:rsidRPr="005263E0" w:rsidRDefault="001528D1" w:rsidP="00CB7AD5">
            <w:pPr>
              <w:spacing w:line="400" w:lineRule="exact"/>
              <w:jc w:val="center"/>
              <w:rPr>
                <w:rFonts w:ascii="黑体" w:eastAsia="黑体" w:hAnsi="黑体" w:hint="eastAsia"/>
                <w:sz w:val="28"/>
                <w:szCs w:val="28"/>
              </w:rPr>
            </w:pPr>
            <w:r w:rsidRPr="005263E0">
              <w:rPr>
                <w:rFonts w:ascii="黑体" w:eastAsia="黑体" w:hAnsi="黑体" w:hint="eastAsia"/>
                <w:sz w:val="28"/>
                <w:szCs w:val="28"/>
              </w:rPr>
              <w:t>事项名称</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Ansi="黑体" w:hint="eastAsia"/>
                <w:sz w:val="28"/>
                <w:szCs w:val="28"/>
              </w:rPr>
            </w:pPr>
            <w:r w:rsidRPr="005263E0">
              <w:rPr>
                <w:rFonts w:ascii="仿宋_GB2312" w:eastAsia="仿宋_GB2312" w:hAnsi="黑体" w:hint="eastAsia"/>
                <w:sz w:val="28"/>
                <w:szCs w:val="28"/>
              </w:rPr>
              <w:t>公共文化服务</w:t>
            </w:r>
          </w:p>
        </w:tc>
      </w:tr>
      <w:tr w:rsidR="001528D1" w:rsidRPr="00A20345" w:rsidTr="00CB7AD5">
        <w:trPr>
          <w:trHeight w:val="1681"/>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lastRenderedPageBreak/>
              <w:t>公开依据</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w:t>
            </w:r>
          </w:p>
        </w:tc>
      </w:tr>
      <w:tr w:rsidR="001528D1" w:rsidRPr="00A20345" w:rsidTr="00CB7AD5">
        <w:trPr>
          <w:trHeight w:val="1691"/>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公开内容</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文化行政许可、文化行政执法项目、重要文化项目、重要文化活动、重要文化设施建设工程、文化行业标准、文化展会等方面信息</w:t>
            </w:r>
          </w:p>
        </w:tc>
      </w:tr>
      <w:tr w:rsidR="001528D1" w:rsidRPr="00A20345" w:rsidTr="00CB7AD5">
        <w:trPr>
          <w:trHeight w:val="1843"/>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公开主体</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××××文化局等相关职能部门</w:t>
            </w:r>
          </w:p>
        </w:tc>
      </w:tr>
      <w:tr w:rsidR="001528D1" w:rsidRPr="00A20345" w:rsidTr="00CB7AD5">
        <w:trPr>
          <w:trHeight w:val="1825"/>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自相关信息制发之日起20个工作日内</w:t>
            </w:r>
          </w:p>
        </w:tc>
      </w:tr>
      <w:tr w:rsidR="001528D1" w:rsidRPr="00A20345" w:rsidTr="00CB7AD5">
        <w:trPr>
          <w:trHeight w:val="1693"/>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××旗县（市、区）政府门户网站（公报）、当地主要媒体</w:t>
            </w:r>
          </w:p>
        </w:tc>
      </w:tr>
      <w:tr w:rsidR="001528D1" w:rsidRPr="00A20345" w:rsidTr="00CB7AD5">
        <w:trPr>
          <w:trHeight w:val="1688"/>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
          <w:p w:rsidR="001528D1" w:rsidRPr="005263E0" w:rsidRDefault="001528D1" w:rsidP="00CB7AD5">
            <w:pPr>
              <w:spacing w:line="400" w:lineRule="exact"/>
              <w:jc w:val="left"/>
              <w:rPr>
                <w:rFonts w:ascii="仿宋_GB2312" w:eastAsia="仿宋_GB2312" w:hint="eastAsia"/>
                <w:sz w:val="28"/>
                <w:szCs w:val="28"/>
              </w:rPr>
            </w:pPr>
          </w:p>
        </w:tc>
      </w:tr>
    </w:tbl>
    <w:p w:rsidR="001528D1" w:rsidRPr="00EA5011" w:rsidRDefault="001528D1" w:rsidP="001528D1">
      <w:pPr>
        <w:spacing w:line="460" w:lineRule="exact"/>
        <w:jc w:val="center"/>
        <w:rPr>
          <w:rFonts w:ascii="黑体" w:eastAsia="黑体" w:hint="eastAsia"/>
          <w:spacing w:val="60"/>
          <w:sz w:val="32"/>
          <w:szCs w:val="32"/>
        </w:rPr>
      </w:pPr>
      <w:r w:rsidRPr="00722788">
        <w:rPr>
          <w:rFonts w:ascii="黑体" w:eastAsia="黑体" w:hint="eastAsia"/>
          <w:sz w:val="32"/>
          <w:szCs w:val="32"/>
        </w:rPr>
        <w:t>（九）</w:t>
      </w:r>
      <w:r w:rsidRPr="00EA5011">
        <w:rPr>
          <w:rFonts w:ascii="黑体" w:eastAsia="黑体" w:hint="eastAsia"/>
          <w:spacing w:val="60"/>
          <w:sz w:val="32"/>
          <w:szCs w:val="32"/>
        </w:rPr>
        <w:t>公共法律服务类</w:t>
      </w:r>
    </w:p>
    <w:p w:rsidR="001528D1" w:rsidRDefault="001528D1" w:rsidP="001528D1">
      <w:pPr>
        <w:spacing w:line="300" w:lineRule="exact"/>
        <w:rPr>
          <w:rFonts w:ascii="方正仿宋简体" w:eastAsia="方正仿宋简体"/>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3"/>
        <w:gridCol w:w="6931"/>
      </w:tblGrid>
      <w:tr w:rsidR="001528D1" w:rsidRPr="009453DA" w:rsidTr="00CB7AD5">
        <w:trPr>
          <w:trHeight w:val="1063"/>
        </w:trPr>
        <w:tc>
          <w:tcPr>
            <w:tcW w:w="1560" w:type="dxa"/>
            <w:shd w:val="clear" w:color="auto" w:fill="auto"/>
            <w:vAlign w:val="center"/>
          </w:tcPr>
          <w:p w:rsidR="001528D1" w:rsidRPr="005263E0" w:rsidRDefault="001528D1" w:rsidP="00CB7AD5">
            <w:pPr>
              <w:spacing w:line="400" w:lineRule="exact"/>
              <w:jc w:val="center"/>
              <w:rPr>
                <w:rFonts w:ascii="黑体" w:eastAsia="黑体" w:hAnsi="黑体" w:hint="eastAsia"/>
                <w:sz w:val="28"/>
                <w:szCs w:val="28"/>
              </w:rPr>
            </w:pPr>
            <w:r w:rsidRPr="005263E0">
              <w:rPr>
                <w:rFonts w:ascii="黑体" w:eastAsia="黑体" w:hAnsi="黑体" w:hint="eastAsia"/>
                <w:sz w:val="28"/>
                <w:szCs w:val="28"/>
              </w:rPr>
              <w:t>事项名称</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Ansi="黑体" w:hint="eastAsia"/>
                <w:sz w:val="28"/>
                <w:szCs w:val="28"/>
              </w:rPr>
            </w:pPr>
            <w:r w:rsidRPr="005263E0">
              <w:rPr>
                <w:rFonts w:ascii="仿宋_GB2312" w:eastAsia="仿宋_GB2312" w:hAnsi="黑体" w:hint="eastAsia"/>
                <w:sz w:val="28"/>
                <w:szCs w:val="28"/>
              </w:rPr>
              <w:t>公共法律服务</w:t>
            </w:r>
          </w:p>
        </w:tc>
      </w:tr>
      <w:tr w:rsidR="001528D1" w:rsidRPr="009453DA" w:rsidTr="00CB7AD5">
        <w:trPr>
          <w:trHeight w:val="1134"/>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公开依据</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相关法律、法规、规章、标准及规范性文件</w:t>
            </w:r>
          </w:p>
        </w:tc>
      </w:tr>
      <w:tr w:rsidR="001528D1" w:rsidRPr="009453DA" w:rsidTr="00CB7AD5">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公开内容</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法制宣传、律师工作、基层法律服务工作、法律援助工</w:t>
            </w:r>
            <w:r w:rsidRPr="005263E0">
              <w:rPr>
                <w:rFonts w:ascii="仿宋_GB2312" w:eastAsia="仿宋_GB2312" w:hint="eastAsia"/>
                <w:sz w:val="28"/>
                <w:szCs w:val="28"/>
              </w:rPr>
              <w:lastRenderedPageBreak/>
              <w:t>作、人民调解工作、安置帮教工作、社区矫正试点工作等方面信息</w:t>
            </w:r>
          </w:p>
        </w:tc>
      </w:tr>
      <w:tr w:rsidR="001528D1" w:rsidRPr="009453DA" w:rsidTr="00CB7AD5">
        <w:trPr>
          <w:trHeight w:val="1196"/>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lastRenderedPageBreak/>
              <w:t>公开主体</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××××司法局</w:t>
            </w:r>
          </w:p>
        </w:tc>
      </w:tr>
      <w:tr w:rsidR="001528D1" w:rsidRPr="009453DA" w:rsidTr="00CB7AD5">
        <w:trPr>
          <w:trHeight w:val="1112"/>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公开时限</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自相关信息制发之日起20个工作日内</w:t>
            </w:r>
          </w:p>
        </w:tc>
      </w:tr>
      <w:tr w:rsidR="001528D1" w:rsidRPr="009453DA" w:rsidTr="00CB7AD5">
        <w:trPr>
          <w:trHeight w:val="1128"/>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公开方式</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r w:rsidRPr="005263E0">
              <w:rPr>
                <w:rFonts w:ascii="仿宋_GB2312" w:eastAsia="仿宋_GB2312" w:hint="eastAsia"/>
                <w:sz w:val="28"/>
                <w:szCs w:val="28"/>
              </w:rPr>
              <w:t>××旗县（市、区）政府门户网站（公报）、当地主要媒体</w:t>
            </w:r>
          </w:p>
        </w:tc>
      </w:tr>
      <w:tr w:rsidR="001528D1" w:rsidRPr="009453DA" w:rsidTr="00CB7AD5">
        <w:trPr>
          <w:trHeight w:val="1122"/>
        </w:trPr>
        <w:tc>
          <w:tcPr>
            <w:tcW w:w="1560" w:type="dxa"/>
            <w:shd w:val="clear" w:color="auto" w:fill="auto"/>
            <w:vAlign w:val="center"/>
          </w:tcPr>
          <w:p w:rsidR="001528D1" w:rsidRPr="005263E0" w:rsidRDefault="001528D1" w:rsidP="00CB7AD5">
            <w:pPr>
              <w:spacing w:line="400" w:lineRule="exact"/>
              <w:jc w:val="center"/>
              <w:rPr>
                <w:rFonts w:ascii="黑体" w:eastAsia="黑体" w:hint="eastAsia"/>
                <w:sz w:val="28"/>
                <w:szCs w:val="28"/>
              </w:rPr>
            </w:pPr>
            <w:r w:rsidRPr="005263E0">
              <w:rPr>
                <w:rFonts w:ascii="黑体" w:eastAsia="黑体" w:hint="eastAsia"/>
                <w:sz w:val="28"/>
                <w:szCs w:val="28"/>
              </w:rPr>
              <w:t>备  注</w:t>
            </w:r>
          </w:p>
        </w:tc>
        <w:tc>
          <w:tcPr>
            <w:tcW w:w="7392" w:type="dxa"/>
            <w:shd w:val="clear" w:color="auto" w:fill="auto"/>
            <w:vAlign w:val="center"/>
          </w:tcPr>
          <w:p w:rsidR="001528D1" w:rsidRPr="005263E0" w:rsidRDefault="001528D1" w:rsidP="00CB7AD5">
            <w:pPr>
              <w:spacing w:line="400" w:lineRule="exact"/>
              <w:jc w:val="left"/>
              <w:rPr>
                <w:rFonts w:ascii="仿宋_GB2312" w:eastAsia="仿宋_GB2312" w:hint="eastAsia"/>
                <w:sz w:val="28"/>
                <w:szCs w:val="28"/>
              </w:rPr>
            </w:pPr>
          </w:p>
          <w:p w:rsidR="001528D1" w:rsidRPr="005263E0" w:rsidRDefault="001528D1" w:rsidP="00CB7AD5">
            <w:pPr>
              <w:spacing w:line="400" w:lineRule="exact"/>
              <w:jc w:val="left"/>
              <w:rPr>
                <w:rFonts w:ascii="仿宋_GB2312" w:eastAsia="仿宋_GB2312" w:hint="eastAsia"/>
                <w:sz w:val="28"/>
                <w:szCs w:val="28"/>
              </w:rPr>
            </w:pPr>
          </w:p>
        </w:tc>
      </w:tr>
    </w:tbl>
    <w:p w:rsidR="001528D1" w:rsidRPr="000B73C4" w:rsidRDefault="001528D1" w:rsidP="001528D1">
      <w:pPr>
        <w:spacing w:line="460" w:lineRule="exact"/>
        <w:rPr>
          <w:rFonts w:ascii="方正仿宋简体" w:eastAsia="方正仿宋简体"/>
          <w:sz w:val="32"/>
          <w:szCs w:val="32"/>
        </w:rPr>
      </w:pPr>
    </w:p>
    <w:p w:rsidR="001528D1" w:rsidRDefault="001528D1" w:rsidP="001528D1">
      <w:pPr>
        <w:adjustRightInd w:val="0"/>
        <w:snapToGrid w:val="0"/>
        <w:spacing w:line="580" w:lineRule="exact"/>
        <w:rPr>
          <w:rFonts w:ascii="黑体" w:eastAsia="黑体" w:hint="eastAsia"/>
          <w:sz w:val="32"/>
        </w:rPr>
      </w:pPr>
    </w:p>
    <w:p w:rsidR="00392ED5" w:rsidRDefault="00392ED5"/>
    <w:sectPr w:rsidR="00392E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D1"/>
    <w:rsid w:val="001528D1"/>
    <w:rsid w:val="00392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XXZX-WQ</dc:creator>
  <cp:lastModifiedBy>XXZX-WQ</cp:lastModifiedBy>
  <cp:revision>1</cp:revision>
  <dcterms:created xsi:type="dcterms:W3CDTF">2017-08-31T09:26:00Z</dcterms:created>
  <dcterms:modified xsi:type="dcterms:W3CDTF">2017-08-31T09:27:00Z</dcterms:modified>
</cp:coreProperties>
</file>