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  <w:sz w:val="32"/>
        </w:rPr>
      </w:pPr>
      <w:bookmarkStart w:id="0" w:name="_GoBack"/>
      <w:bookmarkEnd w:id="0"/>
      <w:r>
        <w:rPr>
          <w:sz w:val="32"/>
        </w:rPr>
        <w:t>20</w:t>
      </w:r>
      <w:r>
        <w:rPr>
          <w:rFonts w:hint="eastAsia"/>
          <w:sz w:val="32"/>
        </w:rPr>
        <w:t>20</w:t>
      </w:r>
      <w:r>
        <w:rPr>
          <w:sz w:val="32"/>
        </w:rPr>
        <w:t>年蔺草及其制品出口配额第二次公开招标</w:t>
      </w:r>
    </w:p>
    <w:p>
      <w:pPr>
        <w:ind w:firstLine="640" w:firstLineChars="200"/>
        <w:jc w:val="center"/>
        <w:rPr>
          <w:rFonts w:hint="eastAsia"/>
          <w:sz w:val="32"/>
        </w:rPr>
      </w:pPr>
      <w:r>
        <w:rPr>
          <w:sz w:val="32"/>
        </w:rPr>
        <w:t>中标企业名单及其配额表</w:t>
      </w:r>
    </w:p>
    <w:p>
      <w:pPr>
        <w:ind w:firstLine="640" w:firstLineChars="200"/>
        <w:jc w:val="center"/>
        <w:rPr>
          <w:rFonts w:hint="eastAsia"/>
          <w:sz w:val="32"/>
        </w:rPr>
      </w:pPr>
    </w:p>
    <w:tbl>
      <w:tblPr>
        <w:tblStyle w:val="2"/>
        <w:tblW w:w="77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13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中标数量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商品单位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中艺编织品（北京）有限公司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500000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上海经茂实业有限责任公司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上海工艺日用品进出口有限公司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江苏弘业股份有限公司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400000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舟山华春轻工制品有限公司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宁波兴宁工艺品实业有限责任公司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110000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宁波新艺蔺草制品有限公司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宁波恒泰草制品有限公司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320000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宁波开诚工艺品有限公司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300000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宁波市海曙金星草制品厂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70000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安徽工艺贸易进出口有限公司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四川眉山幸达工艺品有限公司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75"/>
    <w:rsid w:val="003F0F04"/>
    <w:rsid w:val="005658C7"/>
    <w:rsid w:val="00614F75"/>
    <w:rsid w:val="293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2020-07-28T09:33:00Z</dcterms:created>
  <dc:creator>Administrator</dc:creator>
  <cp:lastModifiedBy>goveditor</cp:lastModifiedBy>
  <dcterms:modified xsi:type="dcterms:W3CDTF">2020-07-29T05:48:46Z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