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2021年度“全国声乐领军人才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暨第十四届全国声乐展演申报表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</w:rPr>
      </w:pPr>
    </w:p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"/>
        <w:gridCol w:w="360"/>
        <w:gridCol w:w="793"/>
        <w:gridCol w:w="709"/>
        <w:gridCol w:w="1570"/>
        <w:gridCol w:w="1145"/>
        <w:gridCol w:w="550"/>
        <w:gridCol w:w="980"/>
        <w:gridCol w:w="625"/>
        <w:gridCol w:w="350"/>
        <w:gridCol w:w="96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组别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美声□  民族□ 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流行音乐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工作或学习单位</w:t>
            </w:r>
          </w:p>
        </w:tc>
        <w:tc>
          <w:tcPr>
            <w:tcW w:w="6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邮编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曲目名称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词曲作者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报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送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曲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目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8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艺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术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简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历</w:t>
            </w:r>
          </w:p>
        </w:tc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获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奖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情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况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13"/>
              </w:tabs>
              <w:spacing w:line="520" w:lineRule="exact"/>
              <w:ind w:firstLine="600" w:firstLineChars="20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</w:t>
            </w:r>
          </w:p>
          <w:p>
            <w:pPr>
              <w:tabs>
                <w:tab w:val="right" w:pos="8313"/>
              </w:tabs>
              <w:spacing w:line="520" w:lineRule="exact"/>
              <w:ind w:firstLine="602" w:firstLineChars="20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我愿意遵守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lang w:eastAsia="zh-CN"/>
              </w:rPr>
              <w:t>培养计划和展演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各项规定，并保证申报材料的真实性。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申报者签名：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9" w:hRule="atLeast"/>
          <w:jc w:val="center"/>
        </w:trPr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省级文化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和旅游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行政部门（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院团、院校）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                                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280E"/>
    <w:rsid w:val="1FD5280E"/>
    <w:rsid w:val="724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2021-04-01T03:13:00Z</dcterms:created>
  <dc:creator>艾米尔_马</dc:creator>
  <cp:lastModifiedBy>goveditor</cp:lastModifiedBy>
  <dcterms:modified xsi:type="dcterms:W3CDTF">2021-04-02T02:38:51Z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