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附件1</w:t>
      </w:r>
    </w:p>
    <w:p>
      <w:pPr>
        <w:jc w:val="center"/>
        <w:rPr>
          <w:rFonts w:hint="eastAsia" w:ascii="黑体" w:eastAsia="黑体"/>
          <w:sz w:val="32"/>
          <w:szCs w:val="32"/>
        </w:rPr>
      </w:pPr>
      <w:r>
        <w:rPr>
          <w:rFonts w:hint="eastAsia" w:ascii="方正小标宋简体" w:hAnsi="方正小标宋简体" w:eastAsia="方正小标宋简体" w:cs="方正小标宋简体"/>
          <w:bCs/>
          <w:sz w:val="32"/>
          <w:szCs w:val="32"/>
        </w:rPr>
        <w:t>取消的监管报告事项</w:t>
      </w:r>
    </w:p>
    <w:tbl>
      <w:tblPr>
        <w:tblStyle w:val="5"/>
        <w:tblW w:w="14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126"/>
        <w:gridCol w:w="3260"/>
        <w:gridCol w:w="6237"/>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2126" w:type="dxa"/>
            <w:vAlign w:val="center"/>
          </w:tcPr>
          <w:p>
            <w:pPr>
              <w:jc w:val="center"/>
              <w:rPr>
                <w:rFonts w:hint="eastAsia" w:ascii="黑体" w:hAnsi="黑体" w:eastAsia="黑体" w:cs="黑体"/>
                <w:color w:val="000000"/>
                <w:szCs w:val="21"/>
              </w:rPr>
            </w:pPr>
            <w:r>
              <w:rPr>
                <w:rFonts w:hint="eastAsia" w:ascii="黑体" w:hAnsi="黑体" w:eastAsia="黑体" w:cs="黑体"/>
                <w:color w:val="000000"/>
                <w:szCs w:val="21"/>
              </w:rPr>
              <w:t>报告名称</w:t>
            </w:r>
          </w:p>
        </w:tc>
        <w:tc>
          <w:tcPr>
            <w:tcW w:w="3260" w:type="dxa"/>
            <w:vAlign w:val="center"/>
          </w:tcPr>
          <w:p>
            <w:pPr>
              <w:jc w:val="center"/>
              <w:rPr>
                <w:rFonts w:hint="eastAsia" w:ascii="黑体" w:hAnsi="黑体" w:eastAsia="黑体" w:cs="黑体"/>
                <w:color w:val="000000"/>
                <w:szCs w:val="21"/>
              </w:rPr>
            </w:pPr>
            <w:r>
              <w:rPr>
                <w:rFonts w:hint="eastAsia" w:ascii="黑体" w:hAnsi="黑体" w:eastAsia="黑体" w:cs="黑体"/>
                <w:color w:val="000000"/>
                <w:szCs w:val="21"/>
              </w:rPr>
              <w:t>制度依据</w:t>
            </w:r>
          </w:p>
        </w:tc>
        <w:tc>
          <w:tcPr>
            <w:tcW w:w="6237" w:type="dxa"/>
            <w:vAlign w:val="center"/>
          </w:tcPr>
          <w:p>
            <w:pPr>
              <w:jc w:val="center"/>
              <w:rPr>
                <w:rFonts w:hint="eastAsia" w:ascii="黑体" w:hAnsi="黑体" w:eastAsia="黑体" w:cs="黑体"/>
                <w:color w:val="000000"/>
                <w:szCs w:val="21"/>
              </w:rPr>
            </w:pPr>
            <w:r>
              <w:rPr>
                <w:rFonts w:hint="eastAsia" w:ascii="黑体" w:hAnsi="黑体" w:eastAsia="黑体" w:cs="黑体"/>
                <w:color w:val="000000"/>
                <w:szCs w:val="21"/>
              </w:rPr>
              <w:t>相关条款内容</w:t>
            </w:r>
          </w:p>
        </w:tc>
        <w:tc>
          <w:tcPr>
            <w:tcW w:w="1875" w:type="dxa"/>
            <w:vAlign w:val="center"/>
          </w:tcPr>
          <w:p>
            <w:pPr>
              <w:jc w:val="center"/>
              <w:rPr>
                <w:rFonts w:hint="eastAsia" w:ascii="黑体" w:hAnsi="黑体" w:eastAsia="黑体" w:cs="黑体"/>
                <w:color w:val="000000"/>
                <w:szCs w:val="21"/>
              </w:rPr>
            </w:pPr>
            <w:r>
              <w:rPr>
                <w:rFonts w:hint="eastAsia" w:ascii="黑体" w:hAnsi="黑体" w:eastAsia="黑体" w:cs="黑体"/>
                <w:color w:val="000000"/>
                <w:szCs w:val="21"/>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1</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证券交易账户及资金账户开立报告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《关于重新修订&lt;保险公司投资证券投资基金管理暂行办法&gt;的通知》(保监发〔2003〕6号)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第十三条 保险公司……，开设的所有证券交易账户及资金账户须在事后15个工作日内报告我会。</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保险资产管理公司不再参照执行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2</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基金投资月报表及年报表</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《关于重新修订&lt;保险公司投资证券投资基金管理暂行办法&gt;的通知》(保监发〔2003〕6号)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第十七条 保险公司应当按月向中国保监会上报投资基金的明细表。月报表须于次月前三个工作日内上报，年报表须于次年一月底之前上报。</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按照《关于印发</w:t>
            </w:r>
            <w:r>
              <w:rPr>
                <w:rFonts w:hint="eastAsia" w:ascii="仿宋_GB2312" w:hAnsi="等线" w:eastAsia="仿宋_GB2312"/>
                <w:sz w:val="20"/>
              </w:rPr>
              <w:t>&lt;保险资产管理公司统计制度&gt;的通知</w:t>
            </w:r>
            <w:r>
              <w:rPr>
                <w:rFonts w:hint="eastAsia" w:ascii="仿宋_GB2312" w:hAnsi="等线" w:eastAsia="仿宋_GB2312"/>
                <w:color w:val="000000"/>
                <w:sz w:val="20"/>
              </w:rPr>
              <w:t>》（保监发〔2010〕85号）要求通过信息系统报送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restart"/>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3</w:t>
            </w:r>
          </w:p>
        </w:tc>
        <w:tc>
          <w:tcPr>
            <w:tcW w:w="2126" w:type="dxa"/>
            <w:vMerge w:val="restart"/>
            <w:vAlign w:val="center"/>
          </w:tcPr>
          <w:p>
            <w:pPr>
              <w:rPr>
                <w:rFonts w:ascii="仿宋_GB2312" w:hAnsi="等线" w:eastAsia="仿宋_GB2312" w:cs="宋体"/>
                <w:sz w:val="20"/>
              </w:rPr>
            </w:pPr>
            <w:r>
              <w:rPr>
                <w:rFonts w:hint="eastAsia" w:ascii="仿宋_GB2312" w:hAnsi="等线" w:eastAsia="仿宋_GB2312"/>
                <w:sz w:val="20"/>
              </w:rPr>
              <w:t>股票投资风险控制报告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《关于保险机构投资者股票投资有关问题的通知》(保监发〔2005〕14号)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四、保险机构投资者股票资产市场价值发生大幅波动，亏损超过本公司股票投资成本10％的，或者盈利超过本公司股票投资成本20％的，应当于3日内向中国保监会报送《股票投资风险控制报告》。</w:t>
            </w:r>
          </w:p>
        </w:tc>
        <w:tc>
          <w:tcPr>
            <w:tcW w:w="1875" w:type="dxa"/>
            <w:vMerge w:val="restart"/>
            <w:vAlign w:val="center"/>
          </w:tcPr>
          <w:p>
            <w:pPr>
              <w:rPr>
                <w:rFonts w:ascii="仿宋_GB2312" w:hAnsi="等线" w:eastAsia="仿宋_GB2312" w:cs="宋体"/>
                <w:color w:val="000000"/>
                <w:sz w:val="20"/>
              </w:rPr>
            </w:pPr>
            <w:r>
              <w:rPr>
                <w:rFonts w:hint="eastAsia" w:ascii="仿宋_GB2312" w:hAnsi="等线" w:eastAsia="仿宋_GB2312"/>
                <w:color w:val="000000"/>
                <w:sz w:val="20"/>
              </w:rPr>
              <w:t>按照《关于明确保险资产负债管理报告报送要求的通知》（银保监办发〔2019〕98号）要求通过信息系统报送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jc w:val="center"/>
              <w:rPr>
                <w:rFonts w:hint="eastAsia" w:ascii="仿宋_GB2312" w:hAnsi="等线" w:eastAsia="仿宋_GB2312"/>
                <w:bCs/>
                <w:color w:val="000000"/>
                <w:sz w:val="20"/>
              </w:rPr>
            </w:pPr>
          </w:p>
        </w:tc>
        <w:tc>
          <w:tcPr>
            <w:tcW w:w="2126" w:type="dxa"/>
            <w:vMerge w:val="continue"/>
            <w:vAlign w:val="center"/>
          </w:tcPr>
          <w:p>
            <w:pPr>
              <w:rPr>
                <w:rFonts w:hint="eastAsia" w:ascii="仿宋_GB2312" w:hAnsi="等线" w:eastAsia="仿宋_GB2312"/>
                <w:sz w:val="20"/>
              </w:rPr>
            </w:pP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《关于规范保险机构股票投资业务的通知》(保监发〔2009〕45号)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五、加强市场风险动态监测。保险公司和保险资产管理公司应当……，向监管机构提交《股票投资风险控制报告》。</w:t>
            </w:r>
          </w:p>
        </w:tc>
        <w:tc>
          <w:tcPr>
            <w:tcW w:w="1875" w:type="dxa"/>
            <w:vMerge w:val="continue"/>
            <w:vAlign w:val="center"/>
          </w:tcPr>
          <w:p>
            <w:pPr>
              <w:rPr>
                <w:rFonts w:hint="eastAsia" w:ascii="仿宋_GB2312" w:hAnsi="等线" w:eastAsia="仿宋_GB2312"/>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4</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非法集资专项报告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《保险业内涉嫌非法集资活动预警和查处工作暂行办法》(保监发〔2007〕127号)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第十一条 ……保险机构、保险中介机构发现利用保险名义从事非法集资活动，或者为非法集资活动提供保险保障和其他便利的，应当及时向保监会……书面报告。</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按照《关于印发银行保险机构涉刑案件管理办法（试行）的通知》（银保监发〔2020〕20号）要求报送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5</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保险资管产品年度财务报告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《关于保险资产管理公司年度财务报告有关问题的通知》(保监发〔2008〕31号)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二、……</w:t>
            </w:r>
            <w:bookmarkStart w:id="0" w:name="_GoBack"/>
            <w:bookmarkEnd w:id="0"/>
            <w:r>
              <w:rPr>
                <w:rFonts w:hint="eastAsia" w:ascii="仿宋_GB2312" w:hAnsi="等线" w:eastAsia="仿宋_GB2312"/>
                <w:sz w:val="20"/>
              </w:rPr>
              <w:br w:type="textWrapping"/>
            </w:r>
            <w:r>
              <w:rPr>
                <w:rFonts w:hint="eastAsia" w:ascii="仿宋_GB2312" w:hAnsi="等线" w:eastAsia="仿宋_GB2312"/>
                <w:sz w:val="20"/>
              </w:rPr>
              <w:t>（一）补充信息内容</w:t>
            </w:r>
            <w:r>
              <w:rPr>
                <w:rFonts w:hint="eastAsia" w:ascii="仿宋_GB2312" w:hAnsi="等线" w:eastAsia="仿宋_GB2312"/>
                <w:sz w:val="20"/>
              </w:rPr>
              <w:br w:type="textWrapping"/>
            </w:r>
            <w:r>
              <w:rPr>
                <w:rFonts w:hint="eastAsia" w:ascii="仿宋_GB2312" w:hAnsi="等线" w:eastAsia="仿宋_GB2312"/>
                <w:sz w:val="20"/>
              </w:rPr>
              <w:t>1、财务监管附表</w:t>
            </w:r>
            <w:r>
              <w:rPr>
                <w:rFonts w:hint="eastAsia" w:ascii="仿宋_GB2312" w:hAnsi="等线" w:eastAsia="仿宋_GB2312"/>
                <w:sz w:val="20"/>
              </w:rPr>
              <w:br w:type="textWrapping"/>
            </w:r>
            <w:r>
              <w:rPr>
                <w:rFonts w:hint="eastAsia" w:ascii="仿宋_GB2312" w:hAnsi="等线" w:eastAsia="仿宋_GB2312"/>
                <w:sz w:val="20"/>
              </w:rPr>
              <w:t>……以发行债权/股权投资计划……方式受托管理保险资金的报表应分别对每一产品或计划进行……并同时报送审计报告。</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按照《保险资产管理产品管理暂行办法》（银保监会令〔2020〕5号）要求通过信息系统报送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6</w:t>
            </w:r>
          </w:p>
        </w:tc>
        <w:tc>
          <w:tcPr>
            <w:tcW w:w="2126"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董事会会议通知报告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《保险公司董事会运作指引》(保监发〔2008〕58号)</w:t>
            </w:r>
          </w:p>
        </w:tc>
        <w:tc>
          <w:tcPr>
            <w:tcW w:w="6237"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第五十三条 公司召开定期会议的，应当……将会议通知同时以书面和电子邮件的方式报告中国保监会。……公司召开董事会临时会议的，应当……报告中国保监会。</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保险资产管理公司不再参照执行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7</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债券回购账户开立报告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《关于加强保险机构债券回购业务管理的通知》(保监发〔2009〕106号)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四、……保险机构应当……（一）在托管银行指定或开立债券回购资金账户10日内，向中国保监会报送账户名称、类型、用途及托管行开户证明等资料。</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8</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债券回购业务季度报告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《关于加强保险机构债券回购业务管理的通知》(保监发〔2009〕106号)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四、……保险机构应当……（二）每季末15日内，向中国保监会报送债券回购利率水平、债券回购利率与市场利率的偏离分析、交易量、交易对手、资金用途及风险状况等情况。</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9</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案件责任追究情况专报</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《关于贯彻落实&lt;保险机构案件责任追究指导意见&gt;的通知》(保监发〔2010〕21号 )</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二、……（一）……</w:t>
            </w:r>
            <w:r>
              <w:rPr>
                <w:rFonts w:hint="eastAsia" w:ascii="仿宋_GB2312" w:hAnsi="等线" w:eastAsia="仿宋_GB2312"/>
                <w:sz w:val="20"/>
              </w:rPr>
              <w:br w:type="textWrapping"/>
            </w:r>
            <w:r>
              <w:rPr>
                <w:rFonts w:hint="eastAsia" w:ascii="仿宋_GB2312" w:hAnsi="等线" w:eastAsia="仿宋_GB2312"/>
                <w:sz w:val="20"/>
              </w:rPr>
              <w:t>1、专报</w:t>
            </w:r>
            <w:r>
              <w:rPr>
                <w:rFonts w:hint="eastAsia" w:ascii="仿宋_GB2312" w:hAnsi="等线" w:eastAsia="仿宋_GB2312"/>
                <w:sz w:val="20"/>
              </w:rPr>
              <w:br w:type="textWrapping"/>
            </w:r>
            <w:r>
              <w:rPr>
                <w:rFonts w:hint="eastAsia" w:ascii="仿宋_GB2312" w:hAnsi="等线" w:eastAsia="仿宋_GB2312"/>
                <w:sz w:val="20"/>
              </w:rPr>
              <w:t>专报由各保险集团公司、保险公司及其省级分支机构、保险资产管理公司在作出案件责任追究决定后的5日内按规定报中国保监会……</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按照《关于银行保险机构涉刑案件信息报送管理有关事项的通知》（银保监办发〔2020〕55号）要求报送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10</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利率互换月度评估报告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《关于保险机构开展利率互换业务的通知》(保监发〔2010〕56号)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六、保险机构开展利率互换业务……每月15日前向保监会报告评估结果。</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按照《关于印发保险资金参与金融衍生产品交易办法等三个文件的通知》（银保监办发〔2020〕59号）要求报送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11</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特殊机构客户模式报告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《关于保险机构投资证券交易问题的通知》(保监发〔2011〕77号)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六、保险机构参与特殊机构客户模式试点，应当在协议签署后5个工作日内向中国保监会报告……</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12</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交易单元租用报告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《关于保险机构投资证券交易问题的通知》(保监发〔2011〕77号)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七、……保险机构应于办理租用交易单元手续后5个工作日内，向中国保监会报告证券公司及其营业机构名称、托管银行名称和租用交易单元号码等信息。</w:t>
            </w:r>
            <w:r>
              <w:rPr>
                <w:rFonts w:hint="eastAsia" w:ascii="仿宋_GB2312" w:hAnsi="等线" w:eastAsia="仿宋_GB2312"/>
                <w:sz w:val="20"/>
              </w:rPr>
              <w:br w:type="textWrapping"/>
            </w:r>
            <w:r>
              <w:rPr>
                <w:rFonts w:hint="eastAsia" w:ascii="仿宋_GB2312" w:hAnsi="等线" w:eastAsia="仿宋_GB2312"/>
                <w:sz w:val="20"/>
              </w:rPr>
              <w:t>保险机构开立证券账户，可以……并在开立证券账户后5个工作日内，向中国保监会报告开立证券账户名称、资金性质、股东代码及托管银行名称信息……</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13</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债券估值规则报告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《保险资金投资债券暂行办法》(保监发〔2012〕58号)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第三十三条 ……保险公司和专业投资管理机构，应当向中国保监会报告债券估值的规则。</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14</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债券价格偏离情况季度报告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《保险资金投资债券暂行办法》(保监发〔2012〕58号)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第三十二条 ……债券发行时，保险资金报价偏离公开市场可比债券合理估值1%以上的，或者所投资债券交易价格偏离市场合理估值1%以上的，应当于下一个季度前10个工作日内，向中国保监会报告并说明影响因素及应对方案。</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15</w:t>
            </w:r>
          </w:p>
        </w:tc>
        <w:tc>
          <w:tcPr>
            <w:tcW w:w="2126"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三年发展规划报告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《保险公司发展规划管理指引》(保监发〔2013〕18 号)</w:t>
            </w:r>
          </w:p>
        </w:tc>
        <w:tc>
          <w:tcPr>
            <w:tcW w:w="6237"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第三十三条 保险公司发展规划应当在股东大会表决通过后15日内报中国保监会。</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保险资产管理公司不再参照执行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16</w:t>
            </w:r>
          </w:p>
        </w:tc>
        <w:tc>
          <w:tcPr>
            <w:tcW w:w="2126"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三年发展规划执行情况评估年度报告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《保险公司发展规划管理指引》(保监发〔2013〕18 号)</w:t>
            </w:r>
          </w:p>
        </w:tc>
        <w:tc>
          <w:tcPr>
            <w:tcW w:w="6237"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第三十五条 保险公司应当于每年4月底前向中国保监会提交公司上一年度规划实施情况全面评估报告……</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保险资产管理公司不再参照执行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17</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资产支持计划发行情况报告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《资产支持计划业务管理暂行办法》(保监发〔2015〕85号)</w:t>
            </w:r>
          </w:p>
        </w:tc>
        <w:tc>
          <w:tcPr>
            <w:tcW w:w="6237" w:type="dxa"/>
            <w:vAlign w:val="center"/>
          </w:tcPr>
          <w:p>
            <w:pPr>
              <w:rPr>
                <w:rFonts w:hint="eastAsia" w:ascii="仿宋_GB2312" w:hAnsi="等线" w:eastAsia="仿宋_GB2312"/>
                <w:sz w:val="20"/>
              </w:rPr>
            </w:pPr>
            <w:r>
              <w:rPr>
                <w:rFonts w:hint="eastAsia" w:ascii="仿宋_GB2312" w:hAnsi="等线" w:eastAsia="仿宋_GB2312"/>
                <w:sz w:val="20"/>
              </w:rPr>
              <w:t>第二十七条 ……受托人应当在支持计划设立完成10 个工作日内将发行情况报告中国保监会。</w:t>
            </w:r>
          </w:p>
          <w:p>
            <w:pPr>
              <w:rPr>
                <w:rFonts w:ascii="仿宋_GB2312" w:hAnsi="等线" w:eastAsia="仿宋_GB2312" w:cs="宋体"/>
                <w:sz w:val="20"/>
              </w:rPr>
            </w:pPr>
            <w:r>
              <w:rPr>
                <w:rFonts w:hint="eastAsia" w:ascii="仿宋_GB2312" w:hAnsi="等线" w:eastAsia="仿宋_GB2312"/>
                <w:sz w:val="20"/>
              </w:rPr>
              <w:t>发行期限届满，未能满足约定的成立条件的，支持计划设立失败。受托人应当……，同时报告中国保监会。</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按照《关于中保保险资产登记交易系统上线运行有关事项的通知》（保监资金〔2018〕65号）要求通过信息系统报送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18</w:t>
            </w:r>
          </w:p>
        </w:tc>
        <w:tc>
          <w:tcPr>
            <w:tcW w:w="2126"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股票投资制度及人员变动情况报告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《关于印发&lt;保险资金运用内部控制指引&gt;及应用指引的通知》(保监发〔2015〕114号)</w:t>
            </w:r>
          </w:p>
        </w:tc>
        <w:tc>
          <w:tcPr>
            <w:tcW w:w="6237"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保险资金运用内部控制应用指引第3号—股票及股票型基金</w:t>
            </w:r>
            <w:r>
              <w:rPr>
                <w:rFonts w:hint="eastAsia" w:ascii="仿宋_GB2312" w:hAnsi="等线" w:eastAsia="仿宋_GB2312"/>
                <w:color w:val="000000"/>
                <w:sz w:val="20"/>
              </w:rPr>
              <w:br w:type="textWrapping"/>
            </w:r>
            <w:r>
              <w:rPr>
                <w:rFonts w:hint="eastAsia" w:ascii="仿宋_GB2312" w:hAnsi="等线" w:eastAsia="仿宋_GB2312"/>
                <w:color w:val="000000"/>
                <w:sz w:val="20"/>
              </w:rPr>
              <w:t>第十七条 ……保险机构应当……，并将上述制度和股票投资有关人员的信息和变动情况报告中国保监会。</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19</w:t>
            </w:r>
          </w:p>
        </w:tc>
        <w:tc>
          <w:tcPr>
            <w:tcW w:w="2126"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受托管理资金季度报表</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《关于报送受托管理保险资金等统计信息的通知》(资金部函〔2016〕17 号)</w:t>
            </w:r>
          </w:p>
        </w:tc>
        <w:tc>
          <w:tcPr>
            <w:tcW w:w="6237"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……请你公司按季度向我会报送受托管理保险资金及非保险资金的相关信息，并于每季度末后20个工作日内，以电子文档介质（Excel表格与加盖公司公章PDF的双格式）报送中国保监会。</w:t>
            </w:r>
          </w:p>
        </w:tc>
        <w:tc>
          <w:tcPr>
            <w:tcW w:w="1875" w:type="dxa"/>
            <w:vAlign w:val="center"/>
          </w:tcPr>
          <w:p>
            <w:pPr>
              <w:rPr>
                <w:rFonts w:ascii="仿宋_GB2312" w:hAnsi="等线" w:eastAsia="仿宋_GB2312" w:cs="宋体"/>
                <w:color w:val="000000"/>
                <w:sz w:val="20"/>
              </w:rPr>
            </w:pPr>
            <w:r>
              <w:rPr>
                <w:rFonts w:hint="eastAsia" w:ascii="仿宋_GB2312" w:hAnsi="等线" w:eastAsia="仿宋_GB2312"/>
                <w:color w:val="000000"/>
                <w:sz w:val="20"/>
              </w:rPr>
              <w:t>按照《关于启用信息系统采集受托管理保险资金等统计信息的通知》（资金部函〔2019〕6号）要求通过信息系统报送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20</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保险私募基金设立申请报告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《关于印发&lt;设立保险私募基金报告材料要件及要点&gt;监管口径的通知》(资金部函〔2016〕139号)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一、设立申请报告要件</w:t>
            </w:r>
            <w:r>
              <w:rPr>
                <w:rFonts w:hint="eastAsia" w:ascii="仿宋_GB2312" w:hAnsi="等线" w:eastAsia="仿宋_GB2312"/>
                <w:sz w:val="20"/>
              </w:rPr>
              <w:br w:type="textWrapping"/>
            </w:r>
            <w:r>
              <w:rPr>
                <w:rFonts w:hint="eastAsia" w:ascii="仿宋_GB2312" w:hAnsi="等线" w:eastAsia="仿宋_GB2312"/>
                <w:sz w:val="20"/>
              </w:rPr>
              <w:t>基金设立申请应当由保险资产管理机构或基金管理人提交公司正式发文的申请报告……</w:t>
            </w:r>
          </w:p>
        </w:tc>
        <w:tc>
          <w:tcPr>
            <w:tcW w:w="1875" w:type="dxa"/>
            <w:vMerge w:val="restart"/>
            <w:vAlign w:val="center"/>
          </w:tcPr>
          <w:p>
            <w:pPr>
              <w:rPr>
                <w:rFonts w:ascii="仿宋_GB2312" w:hAnsi="等线" w:eastAsia="仿宋_GB2312" w:cs="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jc w:val="center"/>
              <w:rPr>
                <w:rFonts w:ascii="仿宋_GB2312" w:hAnsi="等线" w:eastAsia="仿宋_GB2312" w:cs="宋体"/>
                <w:bCs/>
                <w:color w:val="000000"/>
                <w:sz w:val="20"/>
              </w:rPr>
            </w:pPr>
            <w:r>
              <w:rPr>
                <w:rFonts w:hint="eastAsia" w:ascii="仿宋_GB2312" w:hAnsi="等线" w:eastAsia="仿宋_GB2312"/>
                <w:bCs/>
                <w:color w:val="000000"/>
                <w:sz w:val="20"/>
              </w:rPr>
              <w:t>21</w:t>
            </w:r>
          </w:p>
        </w:tc>
        <w:tc>
          <w:tcPr>
            <w:tcW w:w="2126" w:type="dxa"/>
            <w:vAlign w:val="center"/>
          </w:tcPr>
          <w:p>
            <w:pPr>
              <w:rPr>
                <w:rFonts w:ascii="仿宋_GB2312" w:hAnsi="等线" w:eastAsia="仿宋_GB2312" w:cs="宋体"/>
                <w:sz w:val="20"/>
              </w:rPr>
            </w:pPr>
            <w:r>
              <w:rPr>
                <w:rFonts w:hint="eastAsia" w:ascii="仿宋_GB2312" w:hAnsi="等线" w:eastAsia="仿宋_GB2312"/>
                <w:sz w:val="20"/>
              </w:rPr>
              <w:t>保险私募基金成立报告</w:t>
            </w:r>
          </w:p>
        </w:tc>
        <w:tc>
          <w:tcPr>
            <w:tcW w:w="3260" w:type="dxa"/>
            <w:vAlign w:val="center"/>
          </w:tcPr>
          <w:p>
            <w:pPr>
              <w:rPr>
                <w:rFonts w:ascii="仿宋_GB2312" w:hAnsi="等线" w:eastAsia="仿宋_GB2312" w:cs="宋体"/>
                <w:sz w:val="20"/>
              </w:rPr>
            </w:pPr>
            <w:r>
              <w:rPr>
                <w:rFonts w:hint="eastAsia" w:ascii="仿宋_GB2312" w:hAnsi="等线" w:eastAsia="仿宋_GB2312"/>
                <w:sz w:val="20"/>
              </w:rPr>
              <w:t>《关于印发&lt;设立保险私募基金报告材料要件及要点&gt;监管口径的通知》(资金部函〔2016〕139号)</w:t>
            </w:r>
          </w:p>
        </w:tc>
        <w:tc>
          <w:tcPr>
            <w:tcW w:w="6237" w:type="dxa"/>
            <w:vAlign w:val="center"/>
          </w:tcPr>
          <w:p>
            <w:pPr>
              <w:rPr>
                <w:rFonts w:ascii="仿宋_GB2312" w:hAnsi="等线" w:eastAsia="仿宋_GB2312" w:cs="宋体"/>
                <w:sz w:val="20"/>
              </w:rPr>
            </w:pPr>
            <w:r>
              <w:rPr>
                <w:rFonts w:hint="eastAsia" w:ascii="仿宋_GB2312" w:hAnsi="等线" w:eastAsia="仿宋_GB2312"/>
                <w:sz w:val="20"/>
              </w:rPr>
              <w:t>二、基金成立报告要件</w:t>
            </w:r>
            <w:r>
              <w:rPr>
                <w:rFonts w:hint="eastAsia" w:ascii="仿宋_GB2312" w:hAnsi="等线" w:eastAsia="仿宋_GB2312"/>
                <w:sz w:val="20"/>
              </w:rPr>
              <w:br w:type="textWrapping"/>
            </w:r>
            <w:r>
              <w:rPr>
                <w:rFonts w:hint="eastAsia" w:ascii="仿宋_GB2312" w:hAnsi="等线" w:eastAsia="仿宋_GB2312"/>
                <w:sz w:val="20"/>
              </w:rPr>
              <w:t>基金完成工商注册后10 个工作日内，基金管理人应当向保监会提交包括以下要件的报告：</w:t>
            </w:r>
            <w:r>
              <w:rPr>
                <w:rFonts w:hint="eastAsia" w:ascii="仿宋_GB2312" w:hAnsi="等线" w:eastAsia="仿宋_GB2312"/>
                <w:sz w:val="20"/>
              </w:rPr>
              <w:br w:type="textWrapping"/>
            </w:r>
            <w:r>
              <w:rPr>
                <w:rFonts w:hint="eastAsia" w:ascii="仿宋_GB2312" w:hAnsi="等线" w:eastAsia="仿宋_GB2312"/>
                <w:sz w:val="20"/>
              </w:rPr>
              <w:t>……。</w:t>
            </w:r>
          </w:p>
        </w:tc>
        <w:tc>
          <w:tcPr>
            <w:tcW w:w="1875" w:type="dxa"/>
            <w:vMerge w:val="continue"/>
            <w:vAlign w:val="center"/>
          </w:tcPr>
          <w:p>
            <w:pPr>
              <w:rPr>
                <w:rFonts w:ascii="仿宋_GB2312" w:hAnsi="等线" w:eastAsia="仿宋_GB2312" w:cs="宋体"/>
                <w:color w:val="000000"/>
                <w:sz w:val="20"/>
              </w:rPr>
            </w:pPr>
          </w:p>
        </w:tc>
      </w:tr>
    </w:tbl>
    <w:p/>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14571"/>
    <w:rsid w:val="2D314571"/>
    <w:rsid w:val="6B90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2021-12-24T07:50:00Z</dcterms:created>
  <dc:creator>台闯</dc:creator>
  <cp:lastModifiedBy>银监会</cp:lastModifiedBy>
  <dcterms:modified xsi:type="dcterms:W3CDTF">2021-12-24T08:08:09Z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