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开发性金融支持县域生活垃圾污水</w:t>
      </w:r>
    </w:p>
    <w:p>
      <w:pPr>
        <w:pStyle w:val="5"/>
        <w:widowControl/>
        <w:shd w:val="clear" w:color="auto" w:fill="FFFFFF"/>
        <w:spacing w:before="0" w:beforeAutospacing="0" w:after="240" w:afterLines="100" w:afterAutospacing="0"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处理设施建设项目申请表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38"/>
        <w:gridCol w:w="4962"/>
        <w:gridCol w:w="253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  <w:t>事项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  <w:t>具体内容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22"/>
                <w:lang w:bidi="ar"/>
              </w:rPr>
              <w:t>填报栏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地区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省（区、市）、新疆生产建设兵团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市（地、州、盟）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县（市、区、旗）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  <w:t>基本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  <w:t>情况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项目名称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建设地点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承担单位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建设规模及内容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项目建成后辐射范围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借款主体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融资模式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建设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周期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开始年月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结束年月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当前进度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投资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计划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项目计划总投资（万元）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其中：中央资金（万元）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地方资金（万元）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开发性金融贷款（万元）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垃圾污水处理设施建设内容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静态投资占比（%）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22"/>
              </w:rPr>
              <w:t>其他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项目批复文件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（可另附）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项目建设纳入相关规划、计划、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试点等情况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（可另附）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t xml:space="preserve">             电话：</w:t>
      </w:r>
      <w:r>
        <w:rPr>
          <w:rFonts w:hint="eastAsia" w:ascii="Times New Roman" w:hAnsi="Times New Roman" w:eastAsia="仿宋_GB2312" w:cs="微软雅黑"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  <w:sectPr>
          <w:pgSz w:w="11906" w:h="16838"/>
          <w:pgMar w:top="1701" w:right="1701" w:bottom="1417" w:left="170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1311D17"/>
    <w:rsid w:val="01EF58FC"/>
    <w:rsid w:val="191831B1"/>
    <w:rsid w:val="322F554F"/>
    <w:rsid w:val="3AD75BD9"/>
    <w:rsid w:val="3CAB7EC8"/>
    <w:rsid w:val="3E377C66"/>
    <w:rsid w:val="695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  <w:szCs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0</TotalTime>
  <ScaleCrop>false</ScaleCrop>
  <LinksUpToDate>false</LinksUpToDate>
  <CharactersWithSpaces>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2022-07-04T02:27:23Z</dcterms:created>
  <dc:creator>yanglinyi</dc:creator>
  <cp:lastModifiedBy>tinykerman</cp:lastModifiedBy>
  <dcterms:modified xsi:type="dcterms:W3CDTF">2022-07-04T02:27:42Z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1A55E797539C49D59380110A8CA1F822</vt:lpwstr>
  </property>
</Properties>
</file>