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附件1</w:t>
      </w:r>
    </w:p>
    <w:p>
      <w:pPr>
        <w:rPr>
          <w:rFonts w:ascii="Times New Roman" w:hAnsi="Times New Roman" w:eastAsia="宋体"/>
          <w:sz w:val="28"/>
          <w:szCs w:val="20"/>
          <w:u w:val="single"/>
        </w:rPr>
      </w:pPr>
    </w:p>
    <w:p>
      <w:pPr>
        <w:rPr>
          <w:rFonts w:ascii="Times New Roman" w:hAnsi="Times New Roman" w:eastAsia="宋体"/>
          <w:sz w:val="28"/>
          <w:szCs w:val="20"/>
          <w:u w:val="single"/>
        </w:rPr>
      </w:pPr>
    </w:p>
    <w:p>
      <w:pPr>
        <w:rPr>
          <w:rFonts w:ascii="Times New Roman" w:hAnsi="Times New Roman" w:eastAsia="宋体"/>
          <w:sz w:val="28"/>
          <w:szCs w:val="20"/>
          <w:u w:val="single"/>
        </w:rPr>
      </w:pPr>
    </w:p>
    <w:p>
      <w:pPr>
        <w:spacing w:afterLines="50"/>
        <w:jc w:val="center"/>
        <w:rPr>
          <w:rFonts w:ascii="华文中宋" w:hAnsi="华文中宋" w:eastAsia="华文中宋"/>
          <w:b/>
          <w:sz w:val="52"/>
          <w:szCs w:val="52"/>
        </w:rPr>
      </w:pPr>
      <w:r>
        <w:rPr>
          <w:rFonts w:hint="eastAsia" w:ascii="华文中宋" w:hAnsi="华文中宋" w:eastAsia="华文中宋"/>
          <w:b/>
          <w:sz w:val="52"/>
          <w:szCs w:val="52"/>
        </w:rPr>
        <w:t>矿山安全标准项目建议书</w:t>
      </w:r>
    </w:p>
    <w:p>
      <w:pPr>
        <w:jc w:val="center"/>
        <w:rPr>
          <w:rFonts w:ascii="Times New Roman" w:hAnsi="Times New Roman" w:eastAsia="黑体"/>
          <w:b/>
          <w:bCs/>
          <w:sz w:val="48"/>
          <w:szCs w:val="20"/>
        </w:rPr>
      </w:pPr>
    </w:p>
    <w:p>
      <w:pPr>
        <w:jc w:val="center"/>
        <w:rPr>
          <w:rFonts w:ascii="Times New Roman" w:hAnsi="Times New Roman" w:eastAsia="黑体"/>
          <w:b/>
          <w:bCs/>
          <w:sz w:val="44"/>
          <w:szCs w:val="20"/>
        </w:rPr>
      </w:pPr>
    </w:p>
    <w:p>
      <w:pPr>
        <w:jc w:val="center"/>
        <w:rPr>
          <w:rFonts w:ascii="Times New Roman" w:hAnsi="Times New Roman" w:eastAsia="黑体"/>
          <w:b/>
          <w:bCs/>
          <w:sz w:val="44"/>
          <w:szCs w:val="20"/>
        </w:rPr>
      </w:pPr>
    </w:p>
    <w:p>
      <w:pPr>
        <w:jc w:val="center"/>
        <w:rPr>
          <w:rFonts w:ascii="Times New Roman" w:hAnsi="Times New Roman" w:eastAsia="黑体"/>
          <w:b/>
          <w:bCs/>
          <w:sz w:val="44"/>
          <w:szCs w:val="20"/>
        </w:rPr>
      </w:pPr>
    </w:p>
    <w:p>
      <w:pPr>
        <w:rPr>
          <w:rFonts w:ascii="Times New Roman" w:hAnsi="Times New Roman" w:eastAsia="黑体"/>
          <w:b/>
          <w:bCs/>
          <w:sz w:val="44"/>
          <w:szCs w:val="20"/>
        </w:rPr>
      </w:pPr>
    </w:p>
    <w:p>
      <w:pPr>
        <w:ind w:firstLine="1004" w:firstLineChars="322"/>
        <w:rPr>
          <w:rFonts w:ascii="宋体" w:hAnsi="宋体" w:eastAsia="宋体"/>
          <w:spacing w:val="16"/>
          <w:sz w:val="28"/>
          <w:szCs w:val="20"/>
          <w:u w:val="single"/>
        </w:rPr>
      </w:pPr>
      <w:r>
        <w:rPr>
          <w:rFonts w:hint="eastAsia" w:ascii="宋体" w:hAnsi="宋体" w:eastAsia="宋体"/>
          <w:spacing w:val="16"/>
          <w:sz w:val="28"/>
          <w:szCs w:val="20"/>
        </w:rPr>
        <w:t>项目名称：</w:t>
      </w:r>
      <w:r>
        <w:rPr>
          <w:rFonts w:hint="eastAsia" w:ascii="宋体" w:hAnsi="宋体" w:eastAsia="宋体"/>
          <w:spacing w:val="16"/>
          <w:sz w:val="28"/>
          <w:szCs w:val="20"/>
          <w:u w:val="single"/>
        </w:rPr>
        <w:t xml:space="preserve">                         </w:t>
      </w:r>
    </w:p>
    <w:p>
      <w:pPr>
        <w:ind w:firstLine="1004" w:firstLineChars="322"/>
        <w:rPr>
          <w:rFonts w:ascii="宋体" w:hAnsi="宋体" w:eastAsia="宋体"/>
          <w:spacing w:val="16"/>
          <w:sz w:val="28"/>
          <w:szCs w:val="20"/>
        </w:rPr>
      </w:pPr>
      <w:r>
        <w:rPr>
          <w:rFonts w:hint="eastAsia" w:ascii="宋体" w:hAnsi="宋体" w:eastAsia="宋体"/>
          <w:spacing w:val="16"/>
          <w:sz w:val="28"/>
          <w:szCs w:val="20"/>
        </w:rPr>
        <w:t>提出单位：</w:t>
      </w:r>
      <w:r>
        <w:rPr>
          <w:rFonts w:hint="eastAsia" w:ascii="宋体" w:hAnsi="宋体" w:eastAsia="宋体"/>
          <w:spacing w:val="16"/>
          <w:sz w:val="28"/>
          <w:szCs w:val="20"/>
          <w:u w:val="single"/>
        </w:rPr>
        <w:t xml:space="preserve">                         </w:t>
      </w:r>
    </w:p>
    <w:p>
      <w:pPr>
        <w:ind w:firstLine="1004" w:firstLineChars="322"/>
        <w:rPr>
          <w:rFonts w:ascii="宋体" w:hAnsi="宋体" w:eastAsia="宋体"/>
          <w:spacing w:val="16"/>
          <w:sz w:val="28"/>
          <w:szCs w:val="20"/>
        </w:rPr>
      </w:pPr>
      <w:r>
        <w:rPr>
          <w:rFonts w:hint="eastAsia" w:ascii="宋体" w:hAnsi="宋体" w:eastAsia="宋体"/>
          <w:spacing w:val="16"/>
          <w:sz w:val="28"/>
          <w:szCs w:val="20"/>
        </w:rPr>
        <w:t>提出日期：</w:t>
      </w:r>
      <w:r>
        <w:rPr>
          <w:rFonts w:hint="eastAsia" w:ascii="宋体" w:hAnsi="宋体" w:eastAsia="宋体"/>
          <w:spacing w:val="16"/>
          <w:sz w:val="28"/>
          <w:szCs w:val="20"/>
          <w:u w:val="single"/>
        </w:rPr>
        <w:t xml:space="preserve">          </w:t>
      </w:r>
      <w:r>
        <w:rPr>
          <w:rFonts w:hint="eastAsia" w:ascii="宋体" w:hAnsi="宋体" w:eastAsia="宋体"/>
          <w:spacing w:val="16"/>
          <w:sz w:val="28"/>
          <w:szCs w:val="20"/>
        </w:rPr>
        <w:t>年</w:t>
      </w:r>
      <w:r>
        <w:rPr>
          <w:rFonts w:hint="eastAsia" w:ascii="宋体" w:hAnsi="宋体" w:eastAsia="宋体"/>
          <w:spacing w:val="16"/>
          <w:sz w:val="28"/>
          <w:szCs w:val="20"/>
          <w:u w:val="single"/>
        </w:rPr>
        <w:t xml:space="preserve">     </w:t>
      </w:r>
      <w:r>
        <w:rPr>
          <w:rFonts w:hint="eastAsia" w:ascii="宋体" w:hAnsi="宋体" w:eastAsia="宋体"/>
          <w:spacing w:val="16"/>
          <w:sz w:val="28"/>
          <w:szCs w:val="20"/>
        </w:rPr>
        <w:t>月</w:t>
      </w:r>
      <w:r>
        <w:rPr>
          <w:rFonts w:hint="eastAsia" w:ascii="宋体" w:hAnsi="宋体" w:eastAsia="宋体"/>
          <w:spacing w:val="16"/>
          <w:sz w:val="28"/>
          <w:szCs w:val="20"/>
          <w:u w:val="single"/>
        </w:rPr>
        <w:t xml:space="preserve">     </w:t>
      </w:r>
      <w:r>
        <w:rPr>
          <w:rFonts w:hint="eastAsia" w:ascii="宋体" w:hAnsi="宋体" w:eastAsia="宋体"/>
          <w:spacing w:val="16"/>
          <w:sz w:val="28"/>
          <w:szCs w:val="20"/>
        </w:rPr>
        <w:t>日</w:t>
      </w:r>
    </w:p>
    <w:p>
      <w:pPr>
        <w:rPr>
          <w:rFonts w:ascii="Times New Roman" w:hAnsi="Times New Roman" w:eastAsia="宋体"/>
          <w:sz w:val="28"/>
          <w:szCs w:val="20"/>
        </w:rPr>
      </w:pPr>
    </w:p>
    <w:p>
      <w:pPr>
        <w:rPr>
          <w:rFonts w:ascii="Times New Roman" w:hAnsi="Times New Roman" w:eastAsia="宋体"/>
          <w:sz w:val="28"/>
          <w:szCs w:val="20"/>
        </w:rPr>
      </w:pPr>
    </w:p>
    <w:p>
      <w:pPr>
        <w:rPr>
          <w:rFonts w:ascii="Times New Roman" w:hAnsi="Times New Roman" w:eastAsia="宋体"/>
          <w:sz w:val="28"/>
          <w:szCs w:val="20"/>
        </w:rPr>
      </w:pPr>
    </w:p>
    <w:p>
      <w:pPr>
        <w:rPr>
          <w:rFonts w:ascii="Times New Roman" w:hAnsi="Times New Roman" w:eastAsia="宋体"/>
          <w:sz w:val="28"/>
          <w:szCs w:val="20"/>
        </w:rPr>
      </w:pPr>
    </w:p>
    <w:p>
      <w:pPr>
        <w:rPr>
          <w:rFonts w:ascii="Times New Roman" w:hAnsi="Times New Roman" w:eastAsia="宋体"/>
          <w:sz w:val="28"/>
          <w:szCs w:val="20"/>
        </w:rPr>
      </w:pPr>
    </w:p>
    <w:p>
      <w:pPr>
        <w:jc w:val="center"/>
        <w:rPr>
          <w:rFonts w:ascii="Times New Roman" w:hAnsi="Times New Roman" w:eastAsia="宋体"/>
          <w:sz w:val="32"/>
          <w:szCs w:val="32"/>
        </w:rPr>
      </w:pPr>
      <w:r>
        <w:rPr>
          <w:rFonts w:hint="eastAsia" w:ascii="Times New Roman" w:hAnsi="Times New Roman" w:eastAsia="宋体"/>
          <w:sz w:val="32"/>
          <w:szCs w:val="32"/>
        </w:rPr>
        <w:t>国家矿山安全监察局制</w:t>
      </w:r>
    </w:p>
    <w:p>
      <w:pPr>
        <w:jc w:val="center"/>
        <w:rPr>
          <w:rFonts w:ascii="Times New Roman" w:hAnsi="Times New Roman" w:eastAsia="宋体"/>
          <w:sz w:val="28"/>
          <w:szCs w:val="20"/>
        </w:rPr>
      </w:pPr>
    </w:p>
    <w:p>
      <w:pPr>
        <w:widowControl/>
        <w:spacing w:line="360" w:lineRule="auto"/>
        <w:jc w:val="left"/>
        <w:rPr>
          <w:rFonts w:ascii="Verdana" w:hAnsi="Verdana" w:eastAsia="宋体" w:cs="Verdana"/>
          <w:kern w:val="0"/>
          <w:sz w:val="21"/>
          <w:szCs w:val="21"/>
        </w:rPr>
      </w:pPr>
    </w:p>
    <w:p>
      <w:pPr>
        <w:widowControl/>
        <w:spacing w:line="360" w:lineRule="auto"/>
        <w:jc w:val="left"/>
        <w:rPr>
          <w:rFonts w:ascii="Verdana" w:hAnsi="Verdana" w:eastAsia="宋体" w:cs="Verdana"/>
          <w:kern w:val="0"/>
          <w:sz w:val="21"/>
          <w:szCs w:val="21"/>
        </w:rPr>
      </w:pPr>
    </w:p>
    <w:p>
      <w:pPr>
        <w:widowControl/>
        <w:spacing w:line="360" w:lineRule="auto"/>
        <w:jc w:val="center"/>
        <w:rPr>
          <w:rFonts w:ascii="Verdana" w:hAnsi="Verdana" w:eastAsia="宋体" w:cs="Verdana"/>
          <w:b/>
          <w:kern w:val="0"/>
          <w:sz w:val="32"/>
          <w:szCs w:val="32"/>
        </w:rPr>
      </w:pPr>
    </w:p>
    <w:p>
      <w:pPr>
        <w:widowControl/>
        <w:spacing w:line="360" w:lineRule="auto"/>
        <w:jc w:val="center"/>
        <w:rPr>
          <w:rFonts w:ascii="Verdana" w:hAnsi="Verdana" w:eastAsia="宋体" w:cs="Verdana"/>
          <w:b/>
          <w:kern w:val="0"/>
          <w:sz w:val="32"/>
          <w:szCs w:val="32"/>
        </w:rPr>
      </w:pPr>
    </w:p>
    <w:p>
      <w:pPr>
        <w:widowControl/>
        <w:spacing w:line="360" w:lineRule="auto"/>
        <w:jc w:val="center"/>
        <w:rPr>
          <w:rFonts w:ascii="Verdana" w:hAnsi="Verdana" w:eastAsia="宋体" w:cs="Verdana"/>
          <w:b/>
          <w:kern w:val="0"/>
          <w:sz w:val="32"/>
          <w:szCs w:val="32"/>
        </w:rPr>
      </w:pPr>
      <w:r>
        <w:rPr>
          <w:rFonts w:hint="eastAsia" w:ascii="Verdana" w:hAnsi="Verdana" w:eastAsia="宋体" w:cs="Verdana"/>
          <w:b/>
          <w:kern w:val="0"/>
          <w:sz w:val="32"/>
          <w:szCs w:val="32"/>
        </w:rPr>
        <w:t>填写说明</w:t>
      </w:r>
    </w:p>
    <w:p>
      <w:pPr>
        <w:widowControl/>
        <w:spacing w:line="360" w:lineRule="auto"/>
        <w:jc w:val="left"/>
        <w:rPr>
          <w:rFonts w:ascii="Times New Roman" w:hAnsi="Times New Roman" w:eastAsia="宋体"/>
          <w:kern w:val="0"/>
          <w:sz w:val="21"/>
          <w:szCs w:val="21"/>
        </w:rPr>
      </w:pPr>
    </w:p>
    <w:p>
      <w:pPr>
        <w:widowControl/>
        <w:spacing w:line="48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一、本建议书用于向国家矿山安全监察局提出矿山安全领域国家标准或者行业标准制修订项目立项建议。</w:t>
      </w:r>
    </w:p>
    <w:p>
      <w:pPr>
        <w:widowControl/>
        <w:spacing w:line="48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二、所填内容应当清楚明确，填写不下可另附页。</w:t>
      </w:r>
    </w:p>
    <w:p>
      <w:pPr>
        <w:widowControl/>
        <w:spacing w:line="48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三、非必填项说明。</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（1）属于制定标准的，“被修订标准号”无需填写；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（2）采用国际/国外先进标准为“无”的，“采用程度”、“采标号”、“采标名称”无需填写；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（3）不采用快速程序的，“省略阶段”无需填写；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（4）不属于强制性标准的，“主要强制内容”和“强制理由”无需填写；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（5）无国家级或者省部级科研项目支撑的，“科研项目编号及名称”无需填写；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（6）不涉及专利的，“专利号及名称”无需填写；</w:t>
      </w:r>
    </w:p>
    <w:p>
      <w:pPr>
        <w:widowControl/>
        <w:spacing w:line="480" w:lineRule="exact"/>
        <w:ind w:firstLine="283" w:firstLineChars="118"/>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（7）不是由其他类别标准转化的，“其他类别标准号及名称”无需填写。</w:t>
      </w:r>
    </w:p>
    <w:p>
      <w:pPr>
        <w:widowControl/>
        <w:spacing w:line="480" w:lineRule="exact"/>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四、其他项均为必填。</w:t>
      </w:r>
    </w:p>
    <w:p>
      <w:pPr>
        <w:widowControl/>
        <w:spacing w:line="480" w:lineRule="exact"/>
        <w:ind w:firstLine="424" w:firstLineChars="177"/>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其中，强制性标准项目完成周期（从下达计划到完成报批）不超过</w:t>
      </w:r>
      <w:r>
        <w:rPr>
          <w:rFonts w:hint="eastAsia" w:asciiTheme="minorEastAsia" w:hAnsiTheme="minorEastAsia" w:eastAsiaTheme="minorEastAsia" w:cstheme="minorEastAsia"/>
          <w:kern w:val="0"/>
          <w:sz w:val="24"/>
          <w:lang w:val="en-US" w:eastAsia="zh-CN"/>
        </w:rPr>
        <w:t>12</w:t>
      </w:r>
      <w:r>
        <w:rPr>
          <w:rFonts w:hint="eastAsia" w:asciiTheme="minorEastAsia" w:hAnsiTheme="minorEastAsia" w:eastAsiaTheme="minorEastAsia" w:cstheme="minorEastAsia"/>
          <w:kern w:val="0"/>
          <w:sz w:val="24"/>
        </w:rPr>
        <w:t>个月，其他标准项目完成周期不超过</w:t>
      </w:r>
      <w:r>
        <w:rPr>
          <w:rFonts w:hint="eastAsia" w:asciiTheme="minorEastAsia" w:hAnsiTheme="minorEastAsia" w:eastAsiaTheme="minorEastAsia" w:cstheme="minorEastAsia"/>
          <w:kern w:val="0"/>
          <w:sz w:val="24"/>
          <w:lang w:val="en-US" w:eastAsia="zh-CN"/>
        </w:rPr>
        <w:t>10</w:t>
      </w:r>
      <w:r>
        <w:rPr>
          <w:rFonts w:hint="eastAsia" w:asciiTheme="minorEastAsia" w:hAnsiTheme="minorEastAsia" w:eastAsiaTheme="minorEastAsia" w:cstheme="minorEastAsia"/>
          <w:kern w:val="0"/>
          <w:sz w:val="24"/>
        </w:rPr>
        <w:t>个月；经费预算应包括经费总额和经费来源情况，并需说明当财政补助经费达不到预算要求时，能否确保项目按时完成。</w:t>
      </w:r>
      <w:bookmarkStart w:id="0" w:name="_GoBack"/>
      <w:bookmarkEnd w:id="0"/>
    </w:p>
    <w:p>
      <w:pPr>
        <w:widowControl/>
        <w:spacing w:line="48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五、军民通用标准项目应当在“备注”栏中标注“军民通用”；其他不便在相关栏中填写的内容也可以在“备注”栏中填写。</w:t>
      </w:r>
    </w:p>
    <w:p>
      <w:pPr>
        <w:widowControl/>
        <w:spacing w:line="480" w:lineRule="exact"/>
        <w:jc w:val="left"/>
        <w:rPr>
          <w:rFonts w:hint="eastAsia" w:asciiTheme="minorEastAsia" w:hAnsiTheme="minorEastAsia" w:eastAsiaTheme="minorEastAsia" w:cstheme="minorEastAsia"/>
          <w:kern w:val="0"/>
          <w:sz w:val="24"/>
        </w:rPr>
      </w:pPr>
    </w:p>
    <w:p>
      <w:pPr>
        <w:widowControl/>
        <w:spacing w:line="480" w:lineRule="exact"/>
        <w:jc w:val="left"/>
        <w:rPr>
          <w:rFonts w:asciiTheme="minorEastAsia" w:hAnsiTheme="minorEastAsia" w:eastAsiaTheme="minorEastAsia" w:cstheme="minorEastAsia"/>
          <w:kern w:val="0"/>
          <w:sz w:val="24"/>
        </w:rPr>
      </w:pPr>
    </w:p>
    <w:p>
      <w:pPr>
        <w:widowControl/>
        <w:spacing w:line="480" w:lineRule="exact"/>
        <w:jc w:val="left"/>
        <w:rPr>
          <w:rFonts w:asciiTheme="minorEastAsia" w:hAnsiTheme="minorEastAsia" w:eastAsiaTheme="minorEastAsia" w:cstheme="minorEastAsia"/>
          <w:kern w:val="0"/>
          <w:sz w:val="24"/>
        </w:rPr>
      </w:pPr>
    </w:p>
    <w:p>
      <w:pPr>
        <w:widowControl/>
        <w:spacing w:line="360" w:lineRule="auto"/>
        <w:jc w:val="center"/>
        <w:rPr>
          <w:rFonts w:ascii="华文中宋" w:hAnsi="华文中宋" w:eastAsia="华文中宋"/>
          <w:b/>
          <w:kern w:val="0"/>
          <w:sz w:val="44"/>
          <w:szCs w:val="44"/>
        </w:rPr>
      </w:pPr>
    </w:p>
    <w:tbl>
      <w:tblPr>
        <w:tblStyle w:val="3"/>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1523"/>
        <w:gridCol w:w="852"/>
        <w:gridCol w:w="52"/>
        <w:gridCol w:w="7"/>
        <w:gridCol w:w="934"/>
        <w:gridCol w:w="684"/>
        <w:gridCol w:w="2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中文名称</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英文名称</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标准级别</w:t>
            </w:r>
          </w:p>
        </w:tc>
        <w:tc>
          <w:tcPr>
            <w:tcW w:w="2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国标</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行标</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标准性质</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强制</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制定</w:t>
            </w:r>
            <w:r>
              <w:rPr>
                <w:rFonts w:ascii="Times New Roman" w:hAnsi="Times New Roman" w:eastAsia="宋体"/>
                <w:sz w:val="21"/>
                <w:szCs w:val="20"/>
              </w:rPr>
              <w:t>/</w:t>
            </w:r>
            <w:r>
              <w:rPr>
                <w:rFonts w:hint="eastAsia" w:ascii="Times New Roman" w:hAnsi="Times New Roman" w:eastAsia="宋体"/>
                <w:sz w:val="21"/>
                <w:szCs w:val="20"/>
              </w:rPr>
              <w:t>修订</w:t>
            </w:r>
          </w:p>
        </w:tc>
        <w:tc>
          <w:tcPr>
            <w:tcW w:w="2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制定</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修订</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被修订标准号</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采用国际</w:t>
            </w:r>
            <w:r>
              <w:rPr>
                <w:rFonts w:ascii="Times New Roman" w:hAnsi="Times New Roman" w:eastAsia="宋体"/>
                <w:sz w:val="21"/>
                <w:szCs w:val="20"/>
              </w:rPr>
              <w:t>/</w:t>
            </w:r>
            <w:r>
              <w:rPr>
                <w:rFonts w:hint="eastAsia" w:ascii="Times New Roman" w:hAnsi="Times New Roman" w:eastAsia="宋体"/>
                <w:sz w:val="21"/>
                <w:szCs w:val="20"/>
              </w:rPr>
              <w:t>国外先进标准</w:t>
            </w:r>
          </w:p>
        </w:tc>
        <w:tc>
          <w:tcPr>
            <w:tcW w:w="2425" w:type="dxa"/>
            <w:gridSpan w:val="3"/>
            <w:tcBorders>
              <w:top w:val="single" w:color="auto" w:sz="4" w:space="0"/>
              <w:left w:val="single" w:color="auto" w:sz="4" w:space="0"/>
              <w:bottom w:val="single" w:color="auto" w:sz="4" w:space="0"/>
              <w:right w:val="single" w:color="auto" w:sz="4" w:space="0"/>
            </w:tcBorders>
          </w:tcPr>
          <w:p>
            <w:pPr>
              <w:spacing w:line="320" w:lineRule="exact"/>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无</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ascii="Times New Roman" w:hAnsi="Times New Roman" w:eastAsia="宋体"/>
                <w:sz w:val="21"/>
                <w:szCs w:val="20"/>
              </w:rPr>
              <w:t xml:space="preserve">ISO  </w:t>
            </w:r>
            <w:r>
              <w:rPr>
                <w:rFonts w:hint="eastAsia" w:ascii="Times New Roman" w:hAnsi="Times New Roman" w:eastAsia="宋体"/>
                <w:b/>
                <w:sz w:val="21"/>
                <w:szCs w:val="20"/>
              </w:rPr>
              <w:t>□</w:t>
            </w:r>
            <w:r>
              <w:rPr>
                <w:rFonts w:ascii="Times New Roman" w:hAnsi="Times New Roman" w:eastAsia="宋体"/>
                <w:sz w:val="21"/>
                <w:szCs w:val="20"/>
              </w:rPr>
              <w:t xml:space="preserve">IEC  </w:t>
            </w:r>
            <w:r>
              <w:rPr>
                <w:rFonts w:hint="eastAsia" w:ascii="Times New Roman" w:hAnsi="Times New Roman" w:eastAsia="宋体"/>
                <w:b/>
                <w:sz w:val="21"/>
                <w:szCs w:val="20"/>
              </w:rPr>
              <w:t>□</w:t>
            </w:r>
            <w:r>
              <w:rPr>
                <w:rFonts w:ascii="Times New Roman" w:hAnsi="Times New Roman" w:eastAsia="宋体"/>
                <w:sz w:val="21"/>
                <w:szCs w:val="20"/>
              </w:rPr>
              <w:t xml:space="preserve">ITU  </w:t>
            </w:r>
            <w:r>
              <w:rPr>
                <w:rFonts w:hint="eastAsia" w:ascii="Times New Roman" w:hAnsi="Times New Roman" w:eastAsia="宋体"/>
                <w:b/>
                <w:sz w:val="21"/>
                <w:szCs w:val="20"/>
              </w:rPr>
              <w:t>□</w:t>
            </w:r>
            <w:r>
              <w:rPr>
                <w:rFonts w:ascii="Times New Roman" w:hAnsi="Times New Roman" w:eastAsia="宋体"/>
                <w:sz w:val="21"/>
                <w:szCs w:val="20"/>
              </w:rPr>
              <w:t>ISO/IEC</w:t>
            </w:r>
          </w:p>
          <w:p>
            <w:pPr>
              <w:spacing w:line="320" w:lineRule="exact"/>
              <w:rPr>
                <w:rFonts w:ascii="Times New Roman" w:hAnsi="Times New Roman" w:eastAsia="宋体"/>
                <w:sz w:val="21"/>
                <w:szCs w:val="20"/>
              </w:rPr>
            </w:pPr>
            <w:r>
              <w:rPr>
                <w:rFonts w:hint="eastAsia" w:ascii="Times New Roman" w:hAnsi="Times New Roman" w:eastAsia="宋体"/>
                <w:b/>
                <w:sz w:val="21"/>
                <w:szCs w:val="20"/>
              </w:rPr>
              <w:t>□</w:t>
            </w:r>
            <w:r>
              <w:rPr>
                <w:rFonts w:ascii="Times New Roman" w:hAnsi="Times New Roman" w:eastAsia="宋体"/>
                <w:sz w:val="21"/>
                <w:szCs w:val="20"/>
              </w:rPr>
              <w:t>ISO</w:t>
            </w:r>
            <w:r>
              <w:rPr>
                <w:rFonts w:hint="eastAsia" w:ascii="Times New Roman" w:hAnsi="Times New Roman" w:eastAsia="宋体"/>
                <w:sz w:val="21"/>
                <w:szCs w:val="20"/>
              </w:rPr>
              <w:t>确认的标准</w:t>
            </w:r>
          </w:p>
          <w:p>
            <w:pPr>
              <w:spacing w:line="320" w:lineRule="exact"/>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国外先进标准</w:t>
            </w: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采用程度</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等同</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修改</w:t>
            </w:r>
          </w:p>
          <w:p>
            <w:pPr>
              <w:rPr>
                <w:rFonts w:ascii="Times New Roman" w:hAnsi="Times New Roman" w:eastAsia="宋体"/>
                <w:sz w:val="21"/>
                <w:szCs w:val="20"/>
              </w:rPr>
            </w:pPr>
            <w:r>
              <w:rPr>
                <w:rFonts w:ascii="Times New Roman" w:hAnsi="Times New Roman" w:eastAsia="宋体"/>
                <w:b/>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采标号</w:t>
            </w:r>
          </w:p>
        </w:tc>
        <w:tc>
          <w:tcPr>
            <w:tcW w:w="2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c>
          <w:tcPr>
            <w:tcW w:w="16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采标名称</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标准类别</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基础</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方法</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管理</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产品</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ascii="Times New Roman" w:hAnsi="Times New Roman" w:eastAsia="宋体"/>
                <w:sz w:val="21"/>
                <w:szCs w:val="20"/>
              </w:rPr>
              <w:t>ICS</w:t>
            </w:r>
          </w:p>
        </w:tc>
        <w:tc>
          <w:tcPr>
            <w:tcW w:w="24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中国分类号</w:t>
            </w:r>
          </w:p>
        </w:tc>
        <w:tc>
          <w:tcPr>
            <w:tcW w:w="234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起草单位</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牵头起草单位</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项目负责人</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联系电话</w:t>
            </w:r>
          </w:p>
        </w:tc>
        <w:tc>
          <w:tcPr>
            <w:tcW w:w="23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宋体"/>
                <w:sz w:val="21"/>
                <w:szCs w:val="20"/>
              </w:rPr>
            </w:pPr>
            <w:r>
              <w:rPr>
                <w:rFonts w:hint="eastAsia" w:ascii="Times New Roman" w:hAnsi="Times New Roman" w:eastAsia="宋体"/>
                <w:sz w:val="21"/>
                <w:szCs w:val="20"/>
              </w:rPr>
              <w:t>归口技术委员会</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项目周期</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sz w:val="21"/>
                <w:szCs w:val="20"/>
              </w:rPr>
            </w:pPr>
            <w:r>
              <w:rPr>
                <w:rFonts w:hint="eastAsia" w:ascii="Times New Roman" w:hAnsi="Times New Roman" w:eastAsia="宋体"/>
                <w:b/>
                <w:sz w:val="21"/>
                <w:szCs w:val="20"/>
              </w:rPr>
              <w:t>□</w:t>
            </w:r>
            <w:r>
              <w:rPr>
                <w:rFonts w:ascii="Times New Roman" w:hAnsi="Times New Roman" w:eastAsia="宋体"/>
                <w:sz w:val="21"/>
                <w:szCs w:val="20"/>
              </w:rPr>
              <w:t>1</w:t>
            </w:r>
            <w:r>
              <w:rPr>
                <w:rFonts w:hint="eastAsia" w:ascii="Times New Roman" w:hAnsi="Times New Roman" w:eastAsia="宋体"/>
                <w:sz w:val="21"/>
                <w:szCs w:val="20"/>
                <w:lang w:val="en-US" w:eastAsia="zh-CN"/>
              </w:rPr>
              <w:t>2</w:t>
            </w:r>
            <w:r>
              <w:rPr>
                <w:rFonts w:hint="eastAsia" w:ascii="Times New Roman" w:hAnsi="Times New Roman" w:eastAsia="宋体"/>
                <w:sz w:val="21"/>
                <w:szCs w:val="20"/>
              </w:rPr>
              <w:t>个月</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lang w:val="en-US" w:eastAsia="zh-CN"/>
              </w:rPr>
              <w:t>10</w:t>
            </w:r>
            <w:r>
              <w:rPr>
                <w:rFonts w:hint="eastAsia" w:ascii="Times New Roman" w:hAnsi="Times New Roman" w:eastAsia="宋体"/>
                <w:sz w:val="21"/>
                <w:szCs w:val="20"/>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是否采用快速程序</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是</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否</w:t>
            </w:r>
          </w:p>
        </w:tc>
        <w:tc>
          <w:tcPr>
            <w:tcW w:w="170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sz w:val="21"/>
                <w:szCs w:val="20"/>
              </w:rPr>
            </w:pPr>
            <w:r>
              <w:rPr>
                <w:rFonts w:hint="eastAsia" w:ascii="Times New Roman" w:hAnsi="Times New Roman" w:eastAsia="宋体"/>
                <w:sz w:val="21"/>
                <w:szCs w:val="20"/>
              </w:rPr>
              <w:t>省略阶段</w:t>
            </w:r>
          </w:p>
        </w:tc>
        <w:tc>
          <w:tcPr>
            <w:tcW w:w="232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省略立项阶段</w:t>
            </w:r>
          </w:p>
          <w:p>
            <w:pP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省略起草阶段</w:t>
            </w:r>
          </w:p>
          <w:p>
            <w:pP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省略征求意见阶段</w:t>
            </w:r>
          </w:p>
          <w:p>
            <w:pPr>
              <w:rPr>
                <w:rFonts w:ascii="Times New Roman" w:hAnsi="Times New Roman" w:eastAsia="宋体"/>
                <w:b/>
                <w:bCs/>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经费预算说明</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bCs/>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目的、意义</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范围和主要技术内容</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国内外情况简要说明</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制修订标准</w:t>
            </w:r>
          </w:p>
          <w:p>
            <w:pPr>
              <w:jc w:val="center"/>
              <w:rPr>
                <w:rFonts w:ascii="Times New Roman" w:hAnsi="Times New Roman" w:eastAsia="宋体"/>
                <w:sz w:val="21"/>
                <w:szCs w:val="20"/>
              </w:rPr>
            </w:pPr>
            <w:r>
              <w:rPr>
                <w:rFonts w:hint="eastAsia" w:ascii="Times New Roman" w:hAnsi="Times New Roman" w:eastAsia="宋体"/>
                <w:sz w:val="21"/>
                <w:szCs w:val="20"/>
              </w:rPr>
              <w:t>拟采取的主要方法</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主要强制内容</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强制理由</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与有关法律法规</w:t>
            </w:r>
          </w:p>
          <w:p>
            <w:pPr>
              <w:jc w:val="center"/>
              <w:rPr>
                <w:rFonts w:ascii="Times New Roman" w:hAnsi="Times New Roman" w:eastAsia="宋体"/>
                <w:sz w:val="21"/>
                <w:szCs w:val="20"/>
              </w:rPr>
            </w:pPr>
            <w:r>
              <w:rPr>
                <w:rFonts w:hint="eastAsia" w:ascii="Times New Roman" w:hAnsi="Times New Roman" w:eastAsia="宋体"/>
                <w:sz w:val="21"/>
                <w:szCs w:val="20"/>
              </w:rPr>
              <w:t>和标准的关系</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标准涉及的产品清单</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是否有国家级或</w:t>
            </w:r>
          </w:p>
          <w:p>
            <w:pPr>
              <w:jc w:val="center"/>
              <w:rPr>
                <w:rFonts w:ascii="Times New Roman" w:hAnsi="Times New Roman" w:eastAsia="宋体"/>
                <w:sz w:val="21"/>
                <w:szCs w:val="20"/>
              </w:rPr>
            </w:pPr>
            <w:r>
              <w:rPr>
                <w:rFonts w:hint="eastAsia" w:ascii="Times New Roman" w:hAnsi="Times New Roman" w:eastAsia="宋体"/>
                <w:sz w:val="21"/>
                <w:szCs w:val="20"/>
              </w:rPr>
              <w:t>省部级科研项目支撑</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是</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否</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科研项目编号</w:t>
            </w:r>
          </w:p>
          <w:p>
            <w:pPr>
              <w:jc w:val="center"/>
              <w:rPr>
                <w:rFonts w:ascii="Times New Roman" w:hAnsi="Times New Roman" w:eastAsia="宋体"/>
                <w:sz w:val="21"/>
                <w:szCs w:val="20"/>
              </w:rPr>
            </w:pPr>
            <w:r>
              <w:rPr>
                <w:rFonts w:hint="eastAsia" w:ascii="Times New Roman" w:hAnsi="Times New Roman" w:eastAsia="宋体"/>
                <w:sz w:val="21"/>
                <w:szCs w:val="20"/>
              </w:rPr>
              <w:t>及名称</w:t>
            </w:r>
          </w:p>
        </w:tc>
        <w:tc>
          <w:tcPr>
            <w:tcW w:w="30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是否涉及专利</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是</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否</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专利号及名称</w:t>
            </w:r>
          </w:p>
        </w:tc>
        <w:tc>
          <w:tcPr>
            <w:tcW w:w="30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是否由其他类别</w:t>
            </w:r>
          </w:p>
          <w:p>
            <w:pPr>
              <w:jc w:val="center"/>
              <w:rPr>
                <w:rFonts w:ascii="Times New Roman" w:hAnsi="Times New Roman" w:eastAsia="宋体"/>
                <w:sz w:val="21"/>
                <w:szCs w:val="20"/>
              </w:rPr>
            </w:pPr>
            <w:r>
              <w:rPr>
                <w:rFonts w:hint="eastAsia" w:ascii="Times New Roman" w:hAnsi="Times New Roman" w:eastAsia="宋体"/>
                <w:sz w:val="21"/>
                <w:szCs w:val="20"/>
              </w:rPr>
              <w:t>标准转化</w:t>
            </w:r>
          </w:p>
        </w:tc>
        <w:tc>
          <w:tcPr>
            <w:tcW w:w="15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b/>
                <w:sz w:val="21"/>
                <w:szCs w:val="20"/>
              </w:rPr>
              <w:t>□</w:t>
            </w:r>
            <w:r>
              <w:rPr>
                <w:rFonts w:hint="eastAsia" w:ascii="Times New Roman" w:hAnsi="Times New Roman" w:eastAsia="宋体"/>
                <w:sz w:val="21"/>
                <w:szCs w:val="20"/>
              </w:rPr>
              <w:t>是</w:t>
            </w:r>
            <w:r>
              <w:rPr>
                <w:rFonts w:ascii="Times New Roman" w:hAnsi="Times New Roman" w:eastAsia="宋体"/>
                <w:sz w:val="21"/>
                <w:szCs w:val="20"/>
              </w:rPr>
              <w:t xml:space="preserve">  </w:t>
            </w:r>
            <w:r>
              <w:rPr>
                <w:rFonts w:hint="eastAsia" w:ascii="Times New Roman" w:hAnsi="Times New Roman" w:eastAsia="宋体"/>
                <w:b/>
                <w:sz w:val="21"/>
                <w:szCs w:val="20"/>
              </w:rPr>
              <w:t>□</w:t>
            </w:r>
            <w:r>
              <w:rPr>
                <w:rFonts w:hint="eastAsia" w:ascii="Times New Roman" w:hAnsi="Times New Roman" w:eastAsia="宋体"/>
                <w:sz w:val="21"/>
                <w:szCs w:val="20"/>
              </w:rPr>
              <w:t>否</w:t>
            </w:r>
          </w:p>
        </w:tc>
        <w:tc>
          <w:tcPr>
            <w:tcW w:w="184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其他类别标准号</w:t>
            </w:r>
          </w:p>
          <w:p>
            <w:pPr>
              <w:jc w:val="center"/>
              <w:rPr>
                <w:rFonts w:ascii="Times New Roman" w:hAnsi="Times New Roman" w:eastAsia="宋体"/>
                <w:sz w:val="21"/>
                <w:szCs w:val="20"/>
              </w:rPr>
            </w:pPr>
            <w:r>
              <w:rPr>
                <w:rFonts w:hint="eastAsia" w:ascii="Times New Roman" w:hAnsi="Times New Roman" w:eastAsia="宋体"/>
                <w:sz w:val="21"/>
                <w:szCs w:val="20"/>
              </w:rPr>
              <w:t>及名称</w:t>
            </w:r>
          </w:p>
        </w:tc>
        <w:tc>
          <w:tcPr>
            <w:tcW w:w="303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r>
              <w:rPr>
                <w:rFonts w:hint="eastAsia" w:ascii="Times New Roman" w:hAnsi="Times New Roman" w:eastAsia="宋体"/>
                <w:sz w:val="21"/>
                <w:szCs w:val="20"/>
              </w:rPr>
              <w:t>备注</w:t>
            </w:r>
          </w:p>
        </w:tc>
        <w:tc>
          <w:tcPr>
            <w:tcW w:w="639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1"/>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Mzg0Yzg2NWNkOWU5ZjNlNGE5OTgwNzZmZGRmZjcifQ=="/>
  </w:docVars>
  <w:rsids>
    <w:rsidRoot w:val="7E617E5F"/>
    <w:rsid w:val="18CD17C7"/>
    <w:rsid w:val="1CB25FAA"/>
    <w:rsid w:val="474915EB"/>
    <w:rsid w:val="7E61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6"/>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857</Words>
  <Characters>877</Characters>
  <Lines>0</Lines>
  <Paragraphs>0</Paragraphs>
  <TotalTime>8</TotalTime>
  <ScaleCrop>false</ScaleCrop>
  <LinksUpToDate>false</LinksUpToDate>
  <CharactersWithSpaces>1004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2023-01-31T00:14:00Z</dcterms:created>
  <dc:creator>敦小雨</dc:creator>
  <cp:lastModifiedBy>敦小雨</cp:lastModifiedBy>
  <dcterms:modified xsi:type="dcterms:W3CDTF">2023-02-15T03:11:34Z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D75F226F83374F7C87E5C6C401600F3E</vt:lpwstr>
  </property>
</Properties>
</file>