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560" w:lineRule="exact"/>
        <w:ind w:firstLine="0" w:firstLineChars="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2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both"/>
        <w:textAlignment w:val="auto"/>
        <w:rPr>
          <w:rFonts w:hint="default" w:ascii="Times New Roman" w:hAnsi="Times New Roman" w:eastAsia="仿宋_GB2312" w:cs="Times New Roman"/>
          <w:color w:val="000000"/>
          <w:spacing w:val="-6"/>
          <w:kern w:val="2"/>
          <w:sz w:val="32"/>
          <w:szCs w:val="32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6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6"/>
          <w:kern w:val="2"/>
          <w:sz w:val="44"/>
          <w:szCs w:val="44"/>
        </w:rPr>
        <w:t>高压气瓶安全和气瓶质量安全追溯体系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color w:val="000000"/>
          <w:spacing w:val="-6"/>
          <w:kern w:val="2"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color w:val="000000"/>
          <w:spacing w:val="-6"/>
          <w:kern w:val="2"/>
          <w:sz w:val="44"/>
          <w:szCs w:val="44"/>
        </w:rPr>
        <w:t>运行情况专项</w:t>
      </w:r>
      <w:r>
        <w:rPr>
          <w:rFonts w:hint="eastAsia" w:ascii="Times New Roman" w:hAnsi="Times New Roman" w:eastAsia="方正小标宋简体" w:cs="Times New Roman"/>
          <w:color w:val="000000"/>
          <w:spacing w:val="-6"/>
          <w:kern w:val="2"/>
          <w:sz w:val="44"/>
          <w:szCs w:val="44"/>
          <w:lang w:eastAsia="zh-CN"/>
        </w:rPr>
        <w:t>排查</w:t>
      </w:r>
      <w:r>
        <w:rPr>
          <w:rFonts w:hint="default" w:ascii="Times New Roman" w:hAnsi="Times New Roman" w:eastAsia="方正小标宋简体" w:cs="Times New Roman"/>
          <w:color w:val="000000"/>
          <w:spacing w:val="-6"/>
          <w:kern w:val="2"/>
          <w:sz w:val="44"/>
          <w:szCs w:val="44"/>
        </w:rPr>
        <w:t>整治方案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60" w:lineRule="exact"/>
        <w:ind w:firstLine="640"/>
        <w:textAlignment w:val="auto"/>
        <w:rPr>
          <w:rFonts w:hint="default" w:ascii="Times New Roman" w:hAnsi="Times New Roman" w:eastAsia="仿宋" w:cs="Times New Roman"/>
          <w:kern w:val="2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left="0" w:leftChars="0" w:right="0" w:rightChars="0"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2022年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高压氧气瓶爆炸事故呈上升趋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势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原因多为氧气瓶中混入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油脂等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可燃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物；同时在工作中发现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气瓶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质量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安全追溯体系的溯源效果</w:t>
      </w:r>
      <w:r>
        <w:rPr>
          <w:rFonts w:hint="default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仍有</w:t>
      </w:r>
      <w:r>
        <w:rPr>
          <w:rFonts w:hint="eastAsia" w:ascii="Times New Roman" w:hAnsi="Times New Roman" w:eastAsia="仿宋_GB2312" w:cs="Times New Roman"/>
          <w:color w:val="auto"/>
          <w:kern w:val="2"/>
          <w:sz w:val="32"/>
          <w:szCs w:val="32"/>
          <w:lang w:eastAsia="zh-CN"/>
        </w:rPr>
        <w:t>差距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为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有效防范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遏制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高压气瓶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爆炸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事故，发挥气瓶质量安全追溯体系在日常监管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中的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作用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，进一步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提高安全监管效能，制定本方案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一、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eastAsia="zh-CN"/>
        </w:rPr>
        <w:t>开展高压氧气瓶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专项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eastAsia="zh-CN"/>
        </w:rPr>
        <w:t>排查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整治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614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各地市场监管部门要督促氧气瓶生产、充装单位严格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执行《气瓶安全技术规程》（TSG 23</w:t>
      </w:r>
      <w:r>
        <w:rPr>
          <w:rFonts w:hint="default" w:ascii="Times New Roman" w:hAnsi="Times New Roman" w:eastAsia="仿宋_GB2312" w:cs="Times New Roman"/>
          <w:color w:val="000000"/>
          <w:kern w:val="2"/>
          <w:sz w:val="32"/>
          <w:szCs w:val="32"/>
          <w:lang w:eastAsia="zh-CN"/>
        </w:rPr>
        <w:t>—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2021）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。重点检查氧气瓶生产单位采用实现剩余压力保持功能的氧气瓶阀（保压阀）情况；氧气瓶充装单位在充装前后对可燃物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检出和清理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情况；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充装单位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对来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源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不明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的“黑气瓶”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spacing w:val="-6"/>
          <w:kern w:val="2"/>
          <w:sz w:val="32"/>
          <w:szCs w:val="32"/>
        </w:rPr>
        <w:t>存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在问题缺陷或者对安全性能有怀疑的气瓶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的处置情况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对报废气瓶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严格落实去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功能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化处理、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填报报废气瓶台账和消除使用功能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气瓶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台账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情况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，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按规定实施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注销手续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情况；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充装单位告知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瓶装氧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气用户，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eastAsia="zh-CN"/>
        </w:rPr>
        <w:t>在</w:t>
      </w: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</w:rPr>
        <w:t>用气过程中严禁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氧气瓶混入可燃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物、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用气设施上应当配置防止气体回流的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防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倒灌装置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情况等。</w:t>
      </w:r>
    </w:p>
    <w:p>
      <w:pPr>
        <w:pStyle w:val="2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after="0" w:line="614" w:lineRule="exact"/>
        <w:ind w:firstLine="320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 xml:space="preserve">  二、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开展</w:t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气瓶质量安全追溯体系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专项排查整治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614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各地市场监管部门要</w:t>
      </w:r>
      <w:r>
        <w:rPr>
          <w:rFonts w:ascii="Times New Roman" w:hAnsi="Times New Roman" w:eastAsia="仿宋_GB2312" w:cs="Times New Roman"/>
          <w:spacing w:val="-6"/>
          <w:sz w:val="32"/>
          <w:szCs w:val="32"/>
        </w:rPr>
        <w:t>应当结合各地实际，采取有效措施，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督促气瓶生产、充装单位按要求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推进气瓶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质量安全追溯信息平台建设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和升级完善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CESI楷体-GB2312" w:hAnsi="CESI楷体-GB2312" w:eastAsia="CESI楷体-GB2312" w:cs="CESI楷体-GB2312"/>
          <w:b w:val="0"/>
          <w:bCs w:val="0"/>
          <w:kern w:val="2"/>
          <w:sz w:val="32"/>
          <w:szCs w:val="32"/>
          <w:lang w:val="en-US" w:eastAsia="zh-CN"/>
        </w:rPr>
      </w:pPr>
      <w:r>
        <w:rPr>
          <w:rFonts w:hint="default" w:ascii="CESI楷体-GB2312" w:hAnsi="CESI楷体-GB2312" w:eastAsia="CESI楷体-GB2312" w:cs="CESI楷体-GB2312"/>
          <w:b w:val="0"/>
          <w:bCs w:val="0"/>
          <w:kern w:val="2"/>
          <w:sz w:val="32"/>
          <w:szCs w:val="32"/>
          <w:lang w:val="en-US" w:eastAsia="zh-CN"/>
        </w:rPr>
        <w:t>（一）气瓶充装单位按要求购置、绑定气瓶。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燃气气瓶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充装单位应当从气瓶制造单位购置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封头上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印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本充装单位标志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在护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罩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设置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永久性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电子识读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标志的燃气气瓶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。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氧气瓶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充装单位应当从气瓶制造单位购置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带有固定式瓶帽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在颈圈上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设置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永久性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电子识读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</w:rPr>
        <w:t>标志的氧气瓶</w:t>
      </w:r>
      <w:r>
        <w:rPr>
          <w:rFonts w:hint="eastAsia" w:ascii="Times New Roman" w:hAnsi="Times New Roman" w:eastAsia="仿宋_GB2312" w:cs="Times New Roman"/>
          <w:b w:val="0"/>
          <w:bCs w:val="0"/>
          <w:color w:val="auto"/>
          <w:kern w:val="2"/>
          <w:sz w:val="32"/>
          <w:szCs w:val="32"/>
          <w:lang w:eastAsia="zh-CN"/>
        </w:rPr>
        <w:t>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应当将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在用氧气瓶更换为固定式瓶帽，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在颈圈上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逐只加装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永久性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电子识读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标志并与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本单位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充装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信息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平台绑定。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 w:firstLineChars="200"/>
        <w:textAlignment w:val="auto"/>
        <w:rPr>
          <w:rFonts w:hint="default" w:ascii="Times New Roman" w:hAnsi="Times New Roman" w:eastAsia="楷体" w:cs="Times New Roman"/>
          <w:b w:val="0"/>
          <w:bCs w:val="0"/>
          <w:kern w:val="2"/>
          <w:sz w:val="32"/>
          <w:szCs w:val="32"/>
          <w:lang w:eastAsia="zh-CN"/>
        </w:rPr>
      </w:pPr>
      <w:r>
        <w:rPr>
          <w:rFonts w:hint="default" w:ascii="CESI楷体-GB2312" w:hAnsi="CESI楷体-GB2312" w:eastAsia="CESI楷体-GB2312" w:cs="CESI楷体-GB2312"/>
          <w:b w:val="0"/>
          <w:bCs w:val="0"/>
          <w:kern w:val="2"/>
          <w:sz w:val="32"/>
          <w:szCs w:val="32"/>
          <w:lang w:val="en-US" w:eastAsia="zh-CN"/>
        </w:rPr>
        <w:t>（二）开展气瓶充装信息平台监督检查。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ind w:firstLine="640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各地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市场监管部门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要开展气瓶充装信息平台应用情况监督检查。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重点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抽查气瓶设置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永久性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电子识读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标志情况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，并通过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手机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扫码读取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气瓶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信息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，核验关联性；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抽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查充装单位充装前后检查、对码开启充装枪等情况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，充装单位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对于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非合规气瓶、介质不一致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eastAsia="zh-CN"/>
        </w:rPr>
        <w:t>气瓶等的处理方式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>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94" w:lineRule="exact"/>
        <w:textAlignment w:val="auto"/>
        <w:rPr>
          <w:rFonts w:hint="default" w:ascii="Times New Roman" w:hAnsi="Times New Roman" w:eastAsia="仿宋_GB2312" w:cs="Times New Roman"/>
          <w:kern w:val="2"/>
          <w:sz w:val="32"/>
          <w:szCs w:val="32"/>
        </w:rPr>
      </w:pPr>
      <w:r>
        <w:rPr>
          <w:rFonts w:hint="default" w:ascii="Times New Roman" w:hAnsi="Times New Roman" w:eastAsia="仿宋_GB2312" w:cs="Times New Roman"/>
          <w:kern w:val="2"/>
          <w:sz w:val="32"/>
          <w:szCs w:val="32"/>
        </w:rPr>
        <w:t xml:space="preserve">    </w:t>
      </w:r>
      <w:r>
        <w:rPr>
          <w:rFonts w:hint="default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三、</w:t>
      </w:r>
      <w:r>
        <w:rPr>
          <w:rFonts w:hint="eastAsia" w:ascii="Times New Roman" w:hAnsi="Times New Roman" w:eastAsia="黑体" w:cs="Times New Roman"/>
          <w:color w:val="000000"/>
          <w:spacing w:val="0"/>
          <w:kern w:val="2"/>
          <w:sz w:val="32"/>
          <w:szCs w:val="32"/>
          <w:lang w:val="en-US" w:eastAsia="zh-CN" w:bidi="ar-SA"/>
        </w:rPr>
        <w:t>工作要求</w:t>
      </w:r>
    </w:p>
    <w:p>
      <w:pPr>
        <w:pStyle w:val="5"/>
        <w:spacing w:line="540" w:lineRule="exact"/>
        <w:ind w:firstLine="585"/>
        <w:rPr>
          <w:rFonts w:hint="eastAsia"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sz w:val="32"/>
          <w:szCs w:val="32"/>
        </w:rPr>
        <w:t>请各省级市场监管部门</w:t>
      </w:r>
      <w:r>
        <w:rPr>
          <w:rFonts w:ascii="Times New Roman" w:hAnsi="Times New Roman" w:eastAsia="仿宋_GB2312"/>
          <w:color w:val="000000"/>
          <w:sz w:val="32"/>
          <w:szCs w:val="32"/>
        </w:rPr>
        <w:t>将专项整治工作总结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/>
        </w:rPr>
        <w:t>和</w:t>
      </w:r>
      <w:r>
        <w:rPr>
          <w:rFonts w:hint="default" w:ascii="Times New Roman" w:hAnsi="Times New Roman" w:eastAsia="仿宋_GB2312" w:cs="Times New Roman"/>
          <w:kern w:val="2"/>
          <w:sz w:val="32"/>
          <w:szCs w:val="32"/>
          <w:lang w:eastAsia="zh-CN"/>
        </w:rPr>
        <w:t>附表</w:t>
      </w: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/>
          <w:color w:val="000000"/>
          <w:sz w:val="32"/>
          <w:szCs w:val="32"/>
        </w:rPr>
        <w:t>分别于</w:t>
      </w:r>
      <w:r>
        <w:rPr>
          <w:rFonts w:ascii="Times New Roman" w:hAnsi="Times New Roman" w:eastAsia="方正隶书_GBK"/>
          <w:color w:val="000000"/>
          <w:sz w:val="32"/>
          <w:szCs w:val="32"/>
          <w:lang w:bidi="ar"/>
        </w:rPr>
        <w:t>2023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方正隶书_GBK"/>
          <w:color w:val="000000"/>
          <w:sz w:val="32"/>
          <w:szCs w:val="32"/>
          <w:lang w:bidi="ar"/>
        </w:rPr>
        <w:t>6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方正隶书_GBK"/>
          <w:color w:val="000000"/>
          <w:sz w:val="32"/>
          <w:szCs w:val="32"/>
          <w:lang w:bidi="ar"/>
        </w:rPr>
        <w:t>30</w:t>
      </w:r>
      <w:r>
        <w:rPr>
          <w:rFonts w:ascii="Times New Roman" w:hAnsi="Times New Roman" w:eastAsia="仿宋_GB2312"/>
          <w:color w:val="000000"/>
          <w:sz w:val="32"/>
          <w:szCs w:val="32"/>
        </w:rPr>
        <w:t>日、</w:t>
      </w:r>
      <w:r>
        <w:rPr>
          <w:rFonts w:ascii="Times New Roman" w:hAnsi="Times New Roman" w:eastAsia="方正隶书_GBK"/>
          <w:color w:val="000000"/>
          <w:sz w:val="32"/>
          <w:szCs w:val="32"/>
          <w:lang w:bidi="ar"/>
        </w:rPr>
        <w:t>2023</w:t>
      </w:r>
      <w:r>
        <w:rPr>
          <w:rFonts w:ascii="Times New Roman" w:hAnsi="Times New Roman" w:eastAsia="仿宋_GB2312"/>
          <w:color w:val="000000"/>
          <w:sz w:val="32"/>
          <w:szCs w:val="32"/>
        </w:rPr>
        <w:t>年</w:t>
      </w:r>
      <w:r>
        <w:rPr>
          <w:rFonts w:ascii="Times New Roman" w:hAnsi="Times New Roman" w:eastAsia="方正隶书_GBK"/>
          <w:color w:val="000000"/>
          <w:sz w:val="32"/>
          <w:szCs w:val="32"/>
          <w:lang w:bidi="ar"/>
        </w:rPr>
        <w:t>12</w:t>
      </w:r>
      <w:r>
        <w:rPr>
          <w:rFonts w:ascii="Times New Roman" w:hAnsi="Times New Roman" w:eastAsia="仿宋_GB2312"/>
          <w:color w:val="000000"/>
          <w:sz w:val="32"/>
          <w:szCs w:val="32"/>
        </w:rPr>
        <w:t>月</w:t>
      </w:r>
      <w:r>
        <w:rPr>
          <w:rFonts w:ascii="Times New Roman" w:hAnsi="Times New Roman" w:eastAsia="方正隶书_GBK"/>
          <w:color w:val="000000"/>
          <w:sz w:val="32"/>
          <w:szCs w:val="32"/>
          <w:lang w:bidi="ar"/>
        </w:rPr>
        <w:t>10</w:t>
      </w:r>
      <w:r>
        <w:rPr>
          <w:rFonts w:ascii="Times New Roman" w:hAnsi="Times New Roman" w:eastAsia="仿宋_GB2312"/>
          <w:color w:val="000000"/>
          <w:sz w:val="32"/>
          <w:szCs w:val="32"/>
        </w:rPr>
        <w:t>日前报送总局特种设备局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。</w:t>
      </w:r>
    </w:p>
    <w:p>
      <w:pPr>
        <w:pStyle w:val="5"/>
        <w:spacing w:line="540" w:lineRule="exact"/>
        <w:ind w:firstLine="585"/>
        <w:rPr>
          <w:rFonts w:ascii="Times New Roman" w:hAnsi="Times New Roman" w:eastAsia="仿宋_GB2312"/>
          <w:color w:val="000000"/>
          <w:sz w:val="32"/>
          <w:szCs w:val="32"/>
          <w:lang w:bidi="ar"/>
        </w:rPr>
      </w:pPr>
      <w:r>
        <w:rPr>
          <w:rFonts w:ascii="Times New Roman" w:hAnsi="Times New Roman" w:eastAsia="仿宋_GB2312"/>
          <w:sz w:val="32"/>
          <w:szCs w:val="32"/>
        </w:rPr>
        <w:t>工作中如遇问题，请与总局特种设备局联系</w:t>
      </w:r>
      <w:r>
        <w:rPr>
          <w:rFonts w:ascii="Times New Roman" w:hAnsi="Times New Roman" w:eastAsia="仿宋_GB2312"/>
          <w:color w:val="000000"/>
          <w:sz w:val="32"/>
          <w:szCs w:val="32"/>
        </w:rPr>
        <w:t>（电话：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010—82262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 w:bidi="ar"/>
        </w:rPr>
        <w:t>239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，</w:t>
      </w:r>
      <w:r>
        <w:rPr>
          <w:rFonts w:ascii="Times New Roman" w:hAnsi="Times New Roman" w:eastAsia="仿宋_GB2312"/>
          <w:color w:val="000000"/>
          <w:sz w:val="32"/>
          <w:szCs w:val="32"/>
        </w:rPr>
        <w:t>电子邮箱：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tsj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val="en-US" w:eastAsia="zh-CN" w:bidi="ar"/>
        </w:rPr>
        <w:t>r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gc@samr.gov.cn</w:t>
      </w:r>
      <w:r>
        <w:rPr>
          <w:rFonts w:hint="eastAsia" w:ascii="Times New Roman" w:hAnsi="Times New Roman" w:eastAsia="仿宋_GB2312"/>
          <w:color w:val="000000"/>
          <w:sz w:val="32"/>
          <w:szCs w:val="32"/>
          <w:lang w:eastAsia="zh-CN" w:bidi="ar"/>
        </w:rPr>
        <w:t>）</w:t>
      </w:r>
      <w:r>
        <w:rPr>
          <w:rFonts w:ascii="Times New Roman" w:hAnsi="Times New Roman" w:eastAsia="仿宋_GB2312"/>
          <w:color w:val="000000"/>
          <w:sz w:val="32"/>
          <w:szCs w:val="32"/>
          <w:lang w:bidi="ar"/>
        </w:rPr>
        <w:t>。</w:t>
      </w:r>
    </w:p>
    <w:p>
      <w:pPr>
        <w:pStyle w:val="5"/>
        <w:spacing w:line="540" w:lineRule="exact"/>
        <w:ind w:firstLine="585"/>
        <w:rPr>
          <w:rFonts w:hint="default" w:ascii="Times New Roman" w:hAnsi="Times New Roman" w:eastAsia="仿宋_GB2312"/>
          <w:color w:val="000000"/>
          <w:sz w:val="32"/>
          <w:szCs w:val="32"/>
          <w:lang w:bidi="ar"/>
        </w:rPr>
      </w:pPr>
    </w:p>
    <w:p>
      <w:pPr>
        <w:pStyle w:val="7"/>
        <w:keepNext w:val="0"/>
        <w:keepLines w:val="0"/>
        <w:pageBreakBefore w:val="0"/>
        <w:widowControl/>
        <w:kinsoku/>
        <w:overflowPunct/>
        <w:topLinePunct w:val="0"/>
        <w:autoSpaceDE/>
        <w:autoSpaceDN/>
        <w:bidi w:val="0"/>
        <w:adjustRightInd/>
        <w:spacing w:line="594" w:lineRule="exact"/>
        <w:jc w:val="both"/>
        <w:textAlignment w:val="auto"/>
        <w:rPr>
          <w:rFonts w:hint="default" w:ascii="Times New Roman" w:hAnsi="Times New Roman" w:eastAsia="黑体" w:cs="Times New Roman"/>
          <w:kern w:val="2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/>
          <w:color w:val="000000"/>
          <w:sz w:val="32"/>
          <w:szCs w:val="32"/>
          <w:lang w:bidi="ar"/>
        </w:rPr>
        <w:br w:type="page"/>
      </w:r>
      <w:r>
        <w:rPr>
          <w:rFonts w:hint="default" w:ascii="Times New Roman" w:hAnsi="Times New Roman" w:eastAsia="黑体" w:cs="Times New Roman"/>
          <w:kern w:val="2"/>
          <w:sz w:val="32"/>
          <w:szCs w:val="32"/>
        </w:rPr>
        <w:t>附表</w:t>
      </w:r>
      <w:r>
        <w:rPr>
          <w:rFonts w:hint="eastAsia" w:ascii="Times New Roman" w:hAnsi="Times New Roman" w:eastAsia="黑体" w:cs="Times New Roman"/>
          <w:kern w:val="2"/>
          <w:sz w:val="32"/>
          <w:szCs w:val="32"/>
          <w:lang w:val="en-US" w:eastAsia="zh-CN"/>
        </w:rPr>
        <w:t>2</w:t>
      </w: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</w:p>
    <w:p>
      <w:pPr>
        <w:pStyle w:val="7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气瓶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lang w:eastAsia="zh-CN"/>
        </w:rPr>
        <w:t>充装单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lang w:eastAsia="zh-CN"/>
        </w:rPr>
        <w:t>位排查整治情况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</w:rPr>
        <w:t>统计表</w:t>
      </w:r>
    </w:p>
    <w:p>
      <w:pPr>
        <w:pStyle w:val="5"/>
        <w:spacing w:line="540" w:lineRule="exact"/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 w:bidi="ar"/>
        </w:rPr>
        <w:t>填报单位：</w:t>
      </w:r>
      <w:r>
        <w:rPr>
          <w:rFonts w:hint="eastAsia" w:ascii="Times New Roman" w:hAnsi="Times New Roman" w:eastAsia="仿宋_GB2312" w:cs="Times New Roman"/>
          <w:spacing w:val="0"/>
          <w:kern w:val="2"/>
          <w:sz w:val="24"/>
          <w:szCs w:val="24"/>
          <w:lang w:val="en-US" w:eastAsia="zh-CN" w:bidi="ar"/>
        </w:rPr>
        <w:t xml:space="preserve">                                  </w:t>
      </w:r>
      <w:r>
        <w:rPr>
          <w:rFonts w:hint="default" w:ascii="Times New Roman" w:hAnsi="Times New Roman" w:eastAsia="仿宋_GB2312" w:cs="Times New Roman"/>
          <w:spacing w:val="0"/>
          <w:kern w:val="2"/>
          <w:sz w:val="24"/>
          <w:szCs w:val="24"/>
          <w:lang w:val="en-US" w:eastAsia="zh-CN" w:bidi="ar"/>
        </w:rPr>
        <w:t xml:space="preserve"> 填报日期：</w:t>
      </w:r>
    </w:p>
    <w:tbl>
      <w:tblPr>
        <w:tblStyle w:val="8"/>
        <w:tblW w:w="8574" w:type="dxa"/>
        <w:tblInd w:w="-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6"/>
        <w:gridCol w:w="2902"/>
        <w:gridCol w:w="2020"/>
        <w:gridCol w:w="21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eastAsia" w:ascii="黑体" w:hAnsi="黑体" w:eastAsia="黑体" w:cs="黑体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氧气瓶相关情况</w:t>
            </w: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燃气气瓶相关情况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充装单位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总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已建成充装信息平台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充装单位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未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实施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报废气瓶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消除使用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功能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的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充装单位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整改合格单位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left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未建立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报废气瓶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消除使用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功能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台账的充装单位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整改合格单位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6" w:type="dxa"/>
            <w:vMerge w:val="restart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抽查永久性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电子识读标志读取情况</w:t>
            </w:r>
          </w:p>
        </w:tc>
        <w:tc>
          <w:tcPr>
            <w:tcW w:w="290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抽查充装单位数量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存在不可读取气瓶信息的充装单位数量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1506" w:type="dxa"/>
            <w:vMerge w:val="continue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902" w:type="dxa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整改合格单位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在用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医用氧气瓶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万只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采用保压阀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在用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医用氧气瓶数量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万只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在用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工业氧气瓶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万只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//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4408" w:type="dxa"/>
            <w:gridSpan w:val="2"/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采用保压阀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在用</w:t>
            </w: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工业氧气瓶数量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bidi="ar"/>
              </w:rPr>
              <w:t>万只</w:t>
            </w:r>
            <w:r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  <w:t>）</w:t>
            </w:r>
          </w:p>
        </w:tc>
        <w:tc>
          <w:tcPr>
            <w:tcW w:w="202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eastAsia="zh-CN" w:bidi="ar"/>
              </w:rPr>
            </w:pPr>
          </w:p>
        </w:tc>
        <w:tc>
          <w:tcPr>
            <w:tcW w:w="21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spacing w:val="0"/>
                <w:kern w:val="2"/>
                <w:sz w:val="24"/>
                <w:szCs w:val="24"/>
                <w:lang w:val="en-US" w:eastAsia="zh-CN" w:bidi="ar"/>
              </w:rPr>
              <w:t>//</w:t>
            </w:r>
          </w:p>
        </w:tc>
      </w:tr>
    </w:tbl>
    <w:p>
      <w:pPr>
        <w:keepNext w:val="0"/>
        <w:keepLines w:val="0"/>
        <w:widowControl w:val="0"/>
        <w:wordWrap w:val="0"/>
        <w:spacing w:line="240" w:lineRule="auto"/>
        <w:ind w:firstLine="0" w:firstLineChars="0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  <w:r>
        <w:rPr>
          <w:rFonts w:hint="default" w:ascii="Times New Roman" w:hAnsi="Times New Roman" w:eastAsia="仿宋_GB2312" w:cs="Times New Roman"/>
          <w:kern w:val="2"/>
          <w:sz w:val="24"/>
          <w:szCs w:val="24"/>
        </w:rPr>
        <w:t xml:space="preserve">信息报送联系人：      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</w:rPr>
        <w:t xml:space="preserve"> 电子邮箱：    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/>
        </w:rPr>
        <w:t xml:space="preserve"> </w:t>
      </w:r>
      <w:r>
        <w:rPr>
          <w:rFonts w:hint="eastAsia" w:ascii="Times New Roman" w:hAnsi="Times New Roman" w:eastAsia="仿宋_GB2312" w:cs="Times New Roman"/>
          <w:kern w:val="2"/>
          <w:sz w:val="24"/>
          <w:szCs w:val="24"/>
          <w:lang w:val="en-US" w:eastAsia="zh-CN"/>
        </w:rPr>
        <w:t xml:space="preserve">   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</w:rPr>
        <w:t>固定电话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  <w:lang w:val="en-US" w:eastAsia="zh-CN"/>
        </w:rPr>
        <w:t>/</w:t>
      </w:r>
      <w:r>
        <w:rPr>
          <w:rFonts w:hint="default" w:ascii="Times New Roman" w:hAnsi="Times New Roman" w:eastAsia="仿宋_GB2312" w:cs="Times New Roman"/>
          <w:kern w:val="2"/>
          <w:sz w:val="24"/>
          <w:szCs w:val="24"/>
        </w:rPr>
        <w:t>手机：</w:t>
      </w:r>
    </w:p>
    <w:p>
      <w:pPr>
        <w:pStyle w:val="5"/>
        <w:rPr>
          <w:rFonts w:hint="default" w:ascii="Times New Roman" w:hAnsi="Times New Roman" w:eastAsia="仿宋_GB2312" w:cs="Times New Roman"/>
          <w:kern w:val="2"/>
          <w:sz w:val="24"/>
          <w:szCs w:val="24"/>
        </w:rPr>
      </w:pPr>
    </w:p>
    <w:sectPr>
      <w:footerReference r:id="rId3" w:type="default"/>
      <w:footerReference r:id="rId4" w:type="even"/>
      <w:pgSz w:w="11906" w:h="16838"/>
      <w:pgMar w:top="1984" w:right="1474" w:bottom="1644" w:left="1474" w:header="851" w:footer="1191" w:gutter="0"/>
      <w:paperSrc/>
      <w:pgNumType w:start="9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隶书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wordWrap w:val="0"/>
      <w:jc w:val="right"/>
      <w:rPr>
        <w:rFonts w:hint="default"/>
        <w:lang w:val="en-US"/>
      </w:rPr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280" w:firstLineChars="100"/>
    </w:pPr>
    <w:r>
      <w:rPr>
        <w:rFonts w:hint="eastAsia" w:ascii="宋体" w:hAnsi="宋体" w:eastAsia="宋体" w:cs="宋体"/>
        <w:sz w:val="28"/>
        <w:szCs w:val="28"/>
        <w:lang w:eastAsia="zh-CN"/>
      </w:rPr>
      <w:t>—</w:t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</w:rPr>
      <w:fldChar w:fldCharType="begin"/>
    </w:r>
    <w:r>
      <w:rPr>
        <w:rFonts w:hint="eastAsia" w:ascii="宋体" w:hAnsi="宋体" w:eastAsia="宋体" w:cs="宋体"/>
        <w:sz w:val="28"/>
        <w:szCs w:val="28"/>
      </w:rPr>
      <w:instrText xml:space="preserve"> PAGE  \* MERGEFORMAT </w:instrText>
    </w:r>
    <w:r>
      <w:rPr>
        <w:rFonts w:hint="eastAsia" w:ascii="宋体" w:hAnsi="宋体" w:eastAsia="宋体" w:cs="宋体"/>
        <w:sz w:val="28"/>
        <w:szCs w:val="28"/>
      </w:rPr>
      <w:fldChar w:fldCharType="separate"/>
    </w:r>
    <w:r>
      <w:rPr>
        <w:rFonts w:hint="eastAsia" w:ascii="宋体" w:hAnsi="宋体" w:eastAsia="宋体" w:cs="宋体"/>
        <w:sz w:val="28"/>
        <w:szCs w:val="28"/>
      </w:rPr>
      <w:t>1</w:t>
    </w:r>
    <w:r>
      <w:rPr>
        <w:rFonts w:hint="eastAsia" w:ascii="宋体" w:hAnsi="宋体" w:eastAsia="宋体" w:cs="宋体"/>
        <w:sz w:val="28"/>
        <w:szCs w:val="28"/>
      </w:rPr>
      <w:fldChar w:fldCharType="end"/>
    </w:r>
    <w:r>
      <w:rPr>
        <w:rFonts w:hint="eastAsia" w:ascii="宋体" w:hAnsi="宋体" w:eastAsia="宋体" w:cs="宋体"/>
        <w:sz w:val="28"/>
        <w:szCs w:val="28"/>
        <w:lang w:val="en-US" w:eastAsia="zh-CN"/>
      </w:rPr>
      <w:t xml:space="preserve"> </w:t>
    </w:r>
    <w:r>
      <w:rPr>
        <w:rFonts w:hint="eastAsia" w:ascii="宋体" w:hAnsi="宋体" w:eastAsia="宋体" w:cs="宋体"/>
        <w:sz w:val="28"/>
        <w:szCs w:val="28"/>
        <w:lang w:eastAsia="zh-CN"/>
      </w:rPr>
      <w:t>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0"/>
  <w:bordersDoNotSurroundFooter w:val="0"/>
  <w:trackRevisions w:val="1"/>
  <w:documentProtection w:enforcement="0"/>
  <w:defaultTabStop w:val="420"/>
  <w:hyphenationZone w:val="360"/>
  <w:evenAndOddHeaders w:val="1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FD6FF3"/>
    <w:rsid w:val="17CDC8C4"/>
    <w:rsid w:val="197FA0D7"/>
    <w:rsid w:val="19EB4260"/>
    <w:rsid w:val="1AE8B2CB"/>
    <w:rsid w:val="1E126B60"/>
    <w:rsid w:val="2BDFF436"/>
    <w:rsid w:val="347E176A"/>
    <w:rsid w:val="36B25BC9"/>
    <w:rsid w:val="37FE621E"/>
    <w:rsid w:val="39B5A02D"/>
    <w:rsid w:val="3B770999"/>
    <w:rsid w:val="3F3FFFEC"/>
    <w:rsid w:val="3F9FD925"/>
    <w:rsid w:val="3FAA3FF3"/>
    <w:rsid w:val="3FFF54F1"/>
    <w:rsid w:val="45FEA5E3"/>
    <w:rsid w:val="49DB4E44"/>
    <w:rsid w:val="4ACFEBC0"/>
    <w:rsid w:val="4FFA6FF4"/>
    <w:rsid w:val="55CDB38D"/>
    <w:rsid w:val="57EF56EE"/>
    <w:rsid w:val="58FE1BF1"/>
    <w:rsid w:val="599F9DB5"/>
    <w:rsid w:val="5AB944F2"/>
    <w:rsid w:val="5B35C963"/>
    <w:rsid w:val="5BED9B3A"/>
    <w:rsid w:val="5CF5FF87"/>
    <w:rsid w:val="5DBFD6EB"/>
    <w:rsid w:val="5EF82B4A"/>
    <w:rsid w:val="5F3E51D0"/>
    <w:rsid w:val="5FB918EF"/>
    <w:rsid w:val="5FC54CB3"/>
    <w:rsid w:val="5FF7D7F6"/>
    <w:rsid w:val="5FF9142B"/>
    <w:rsid w:val="5FFBD795"/>
    <w:rsid w:val="5FFD0D3E"/>
    <w:rsid w:val="6A7D0FAB"/>
    <w:rsid w:val="6BBFDA56"/>
    <w:rsid w:val="6D5F3775"/>
    <w:rsid w:val="6E35FA36"/>
    <w:rsid w:val="6E9FA599"/>
    <w:rsid w:val="6F6B2C0A"/>
    <w:rsid w:val="6FBF01AC"/>
    <w:rsid w:val="6FE95E45"/>
    <w:rsid w:val="6FEFD618"/>
    <w:rsid w:val="71F8EADF"/>
    <w:rsid w:val="71FA2B33"/>
    <w:rsid w:val="73FE89B8"/>
    <w:rsid w:val="76EEE934"/>
    <w:rsid w:val="777F78FB"/>
    <w:rsid w:val="77E611B7"/>
    <w:rsid w:val="79DDC2C6"/>
    <w:rsid w:val="79FD6FF3"/>
    <w:rsid w:val="7AEF8468"/>
    <w:rsid w:val="7AFE379F"/>
    <w:rsid w:val="7B7723ED"/>
    <w:rsid w:val="7BBF8069"/>
    <w:rsid w:val="7BDFB3FC"/>
    <w:rsid w:val="7BEFCCB2"/>
    <w:rsid w:val="7D5F817F"/>
    <w:rsid w:val="7D739FD7"/>
    <w:rsid w:val="7DC74D96"/>
    <w:rsid w:val="7DC7A6F0"/>
    <w:rsid w:val="7DEE3361"/>
    <w:rsid w:val="7EA00A94"/>
    <w:rsid w:val="7ECE229E"/>
    <w:rsid w:val="7ED78ABC"/>
    <w:rsid w:val="7EFEEB31"/>
    <w:rsid w:val="7EFF19FD"/>
    <w:rsid w:val="7F6F5081"/>
    <w:rsid w:val="7F90287A"/>
    <w:rsid w:val="7FBDB57A"/>
    <w:rsid w:val="7FBF3666"/>
    <w:rsid w:val="7FDC2639"/>
    <w:rsid w:val="7FFE939D"/>
    <w:rsid w:val="9EFC7A63"/>
    <w:rsid w:val="9FFF359C"/>
    <w:rsid w:val="AF7E4FFA"/>
    <w:rsid w:val="B3AAD1EE"/>
    <w:rsid w:val="B55F42E2"/>
    <w:rsid w:val="B7EFEA20"/>
    <w:rsid w:val="B7FDC149"/>
    <w:rsid w:val="B89FDC6B"/>
    <w:rsid w:val="B96FBE0E"/>
    <w:rsid w:val="BAF701EF"/>
    <w:rsid w:val="BBFF0547"/>
    <w:rsid w:val="BFE58082"/>
    <w:rsid w:val="BFF0AC11"/>
    <w:rsid w:val="BFFE2CBC"/>
    <w:rsid w:val="CCFAACBD"/>
    <w:rsid w:val="CDE768A4"/>
    <w:rsid w:val="CE7E2425"/>
    <w:rsid w:val="D530C178"/>
    <w:rsid w:val="D5F9FE77"/>
    <w:rsid w:val="D9BDB2B2"/>
    <w:rsid w:val="D9FE481C"/>
    <w:rsid w:val="DB7B7EC4"/>
    <w:rsid w:val="DBF8F3A2"/>
    <w:rsid w:val="DBFE2336"/>
    <w:rsid w:val="DEEC925A"/>
    <w:rsid w:val="DEF35080"/>
    <w:rsid w:val="DFBDE8FB"/>
    <w:rsid w:val="DFDB62DA"/>
    <w:rsid w:val="E35B52D6"/>
    <w:rsid w:val="E6A8B8AD"/>
    <w:rsid w:val="EB4FB869"/>
    <w:rsid w:val="EB76DCB7"/>
    <w:rsid w:val="EDBF73AE"/>
    <w:rsid w:val="EFDA5CE3"/>
    <w:rsid w:val="EFF69554"/>
    <w:rsid w:val="EFF7AB95"/>
    <w:rsid w:val="EFFF2734"/>
    <w:rsid w:val="F1F7FC24"/>
    <w:rsid w:val="F2C5A843"/>
    <w:rsid w:val="F3D74DEB"/>
    <w:rsid w:val="F3F62C9C"/>
    <w:rsid w:val="F3FC0CE5"/>
    <w:rsid w:val="F3FF8487"/>
    <w:rsid w:val="F6FD9658"/>
    <w:rsid w:val="F77E5A0A"/>
    <w:rsid w:val="F7E35635"/>
    <w:rsid w:val="F7FFD2D7"/>
    <w:rsid w:val="FABF8E8D"/>
    <w:rsid w:val="FB7F2B49"/>
    <w:rsid w:val="FBCF9F85"/>
    <w:rsid w:val="FBFC6FFF"/>
    <w:rsid w:val="FCD3D715"/>
    <w:rsid w:val="FDFB8F8B"/>
    <w:rsid w:val="FDFFB3B0"/>
    <w:rsid w:val="FE9F79D9"/>
    <w:rsid w:val="FF4A3306"/>
    <w:rsid w:val="FF7DFD00"/>
    <w:rsid w:val="FFAFB9CF"/>
    <w:rsid w:val="FFB1B085"/>
    <w:rsid w:val="FFB96030"/>
    <w:rsid w:val="FFE5A725"/>
    <w:rsid w:val="FFF78856"/>
    <w:rsid w:val="FFFD44B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 Text First Indent1"/>
    <w:basedOn w:val="3"/>
    <w:next w:val="5"/>
    <w:qFormat/>
    <w:uiPriority w:val="99"/>
    <w:pPr>
      <w:widowControl w:val="0"/>
      <w:spacing w:after="120"/>
      <w:ind w:firstLine="420" w:firstLineChars="10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paragraph" w:styleId="3">
    <w:name w:val="Body Text"/>
    <w:basedOn w:val="1"/>
    <w:next w:val="4"/>
    <w:qFormat/>
    <w:uiPriority w:val="0"/>
    <w:pPr>
      <w:widowControl w:val="0"/>
      <w:overflowPunct/>
      <w:topLinePunct w:val="0"/>
      <w:spacing w:after="120"/>
      <w:ind w:firstLine="200" w:firstLineChars="200"/>
      <w:jc w:val="both"/>
    </w:pPr>
    <w:rPr>
      <w:rFonts w:ascii="Calibri" w:hAnsi="Calibri" w:eastAsia="宋体" w:cs="Times New Roman"/>
      <w:color w:val="000000"/>
      <w:spacing w:val="0"/>
      <w:kern w:val="2"/>
      <w:sz w:val="21"/>
      <w:szCs w:val="24"/>
      <w:lang w:val="en-US" w:eastAsia="zh-CN" w:bidi="ar-SA"/>
    </w:rPr>
  </w:style>
  <w:style w:type="paragraph" w:styleId="4">
    <w:name w:val="Body Text First Indent"/>
    <w:basedOn w:val="3"/>
    <w:next w:val="3"/>
    <w:qFormat/>
    <w:uiPriority w:val="0"/>
    <w:pPr>
      <w:widowControl w:val="0"/>
      <w:spacing w:after="120"/>
      <w:ind w:firstLine="72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0">
    <w:name w:val="No Spacing"/>
    <w:qFormat/>
    <w:uiPriority w:val="1"/>
    <w:pPr>
      <w:widowControl w:val="0"/>
      <w:jc w:val="both"/>
    </w:pPr>
    <w:rPr>
      <w:rFonts w:ascii="仿宋_GB2312" w:hAnsi="仿宋_GB2312" w:eastAsia="仿宋_GB2312" w:cs="Times New Roman"/>
      <w:kern w:val="2"/>
      <w:sz w:val="21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3.33333333333333</TotalTime>
  <ScaleCrop>false</ScaleCrop>
  <LinksUpToDate>false</LinksUpToDate>
  <CharactersWithSpaces>0</CharactersWithSpaces>
  <Application>WPS Office_11.8.2.11653_F1E327BC-269C-435d-A152-05C5408002CA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2023-04-18T08:14:00Z</dcterms:created>
  <dc:creator>greatwall</dc:creator>
  <cp:lastModifiedBy>oa</cp:lastModifiedBy>
  <cp:lastPrinted>2023-04-27T02:32:12Z</cp:lastPrinted>
  <dcterms:modified xsi:type="dcterms:W3CDTF">2023-05-06T16:33:29Z</dcterms:modified>
  <dc:title>附件1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2052-11.8.2.11653</vt:lpwstr>
  </property>
  <property fmtid="{D5CDD505-2E9C-101B-9397-08002B2CF9AE}" pid="3" name="ICV">
    <vt:lpwstr>C4FB04C730F3E177D9105664FC54FCAD</vt:lpwstr>
  </property>
</Properties>
</file>