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8CF" w:themeColor="background1"/>
  <w:body>
    <w:p w:rsidR="002E1F7F" w:rsidRDefault="0043670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63DBA">
        <w:rPr>
          <w:rFonts w:ascii="黑体" w:eastAsia="黑体" w:hAnsi="黑体" w:hint="eastAsia"/>
          <w:sz w:val="32"/>
          <w:szCs w:val="32"/>
        </w:rPr>
        <w:t>2</w:t>
      </w:r>
    </w:p>
    <w:p w:rsidR="00AD62BA" w:rsidRDefault="00AD62BA">
      <w:pPr>
        <w:rPr>
          <w:rFonts w:ascii="黑体" w:eastAsia="黑体" w:hAnsi="黑体"/>
          <w:sz w:val="32"/>
          <w:szCs w:val="32"/>
        </w:rPr>
      </w:pPr>
    </w:p>
    <w:p w:rsidR="002E1F7F" w:rsidRDefault="00116956"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</w:t>
      </w:r>
      <w:r w:rsidR="00B63DBA">
        <w:rPr>
          <w:rFonts w:ascii="方正小标宋简体" w:eastAsia="方正小标宋简体" w:hint="eastAsia"/>
          <w:spacing w:val="-12"/>
          <w:sz w:val="44"/>
          <w:szCs w:val="44"/>
        </w:rPr>
        <w:t>不合格项目的</w:t>
      </w:r>
      <w:r w:rsidR="00F30821">
        <w:rPr>
          <w:rFonts w:ascii="方正小标宋简体" w:eastAsia="方正小标宋简体" w:hint="eastAsia"/>
          <w:spacing w:val="-12"/>
          <w:sz w:val="44"/>
          <w:szCs w:val="44"/>
        </w:rPr>
        <w:t>小知识</w:t>
      </w:r>
    </w:p>
    <w:p w:rsidR="002E1F7F" w:rsidRDefault="002E1F7F">
      <w:pPr>
        <w:jc w:val="center"/>
        <w:rPr>
          <w:rFonts w:ascii="方正小标宋简体" w:eastAsia="方正小标宋简体"/>
          <w:spacing w:val="-12"/>
          <w:sz w:val="32"/>
          <w:szCs w:val="32"/>
        </w:rPr>
      </w:pPr>
    </w:p>
    <w:p w:rsidR="002E1F7F" w:rsidRDefault="001067FF">
      <w:pPr>
        <w:spacing w:line="600" w:lineRule="exact"/>
        <w:ind w:firstLineChars="200" w:firstLine="592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一</w:t>
      </w:r>
      <w:r w:rsidR="0043670C">
        <w:rPr>
          <w:rFonts w:ascii="黑体" w:eastAsia="黑体" w:hAnsi="黑体" w:hint="eastAsia"/>
          <w:spacing w:val="-12"/>
          <w:sz w:val="32"/>
          <w:szCs w:val="32"/>
        </w:rPr>
        <w:t>、</w:t>
      </w:r>
      <w:r w:rsidR="0043670C">
        <w:rPr>
          <w:rFonts w:ascii="黑体" w:eastAsia="黑体" w:hAnsi="黑体" w:hint="eastAsia"/>
          <w:kern w:val="0"/>
          <w:sz w:val="32"/>
          <w:szCs w:val="32"/>
        </w:rPr>
        <w:t>二氧化硫残留量</w:t>
      </w:r>
    </w:p>
    <w:p w:rsidR="002E1F7F" w:rsidRDefault="0043670C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二氧化硫、焦亚硫酸钾、亚硫酸钠是食品加工中常用的漂白剂和防腐剂，使用后会产生二氧化硫残留。</w:t>
      </w:r>
      <w:r>
        <w:rPr>
          <w:rFonts w:ascii="仿宋_GB2312" w:eastAsia="仿宋_GB2312" w:hint="eastAsia"/>
          <w:sz w:val="32"/>
          <w:szCs w:val="32"/>
        </w:rPr>
        <w:t>《食品安全国家标准 食品添加剂使用标准》</w:t>
      </w:r>
      <w:r w:rsidRPr="006A69F0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6A69F0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AD62BA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6A69F0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6A69F0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中规定</w:t>
      </w:r>
      <w:r w:rsidR="00B63DB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坚果</w:t>
      </w:r>
      <w:proofErr w:type="gramStart"/>
      <w:r>
        <w:rPr>
          <w:rFonts w:ascii="仿宋_GB2312" w:eastAsia="仿宋_GB2312" w:hint="eastAsia"/>
          <w:sz w:val="32"/>
          <w:szCs w:val="32"/>
        </w:rPr>
        <w:t>与籽类食品</w:t>
      </w:r>
      <w:proofErr w:type="gramEnd"/>
      <w:r>
        <w:rPr>
          <w:rFonts w:ascii="仿宋_GB2312" w:eastAsia="仿宋_GB2312" w:hint="eastAsia"/>
          <w:sz w:val="32"/>
          <w:szCs w:val="32"/>
        </w:rPr>
        <w:t>生产加工中不得使用亚硫酸盐、</w:t>
      </w:r>
      <w:r>
        <w:rPr>
          <w:rFonts w:ascii="仿宋_GB2312" w:eastAsia="仿宋_GB2312" w:hAnsi="宋体" w:hint="eastAsia"/>
          <w:kern w:val="0"/>
          <w:sz w:val="32"/>
          <w:szCs w:val="32"/>
        </w:rPr>
        <w:t>二氧化硫等物质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二氧化硫进入人体后最终转化为硫酸盐并随尿液排出体外，少量摄入不会对身体带来健康危害，但若过量食用可能引起如恶心、呕吐等胃肠道反应。</w:t>
      </w:r>
    </w:p>
    <w:p w:rsidR="002E1F7F" w:rsidRDefault="001067FF">
      <w:pPr>
        <w:spacing w:line="600" w:lineRule="exact"/>
        <w:ind w:firstLineChars="200" w:firstLine="592"/>
        <w:jc w:val="left"/>
        <w:textAlignment w:val="baseline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二</w:t>
      </w:r>
      <w:r w:rsidR="0043670C">
        <w:rPr>
          <w:rFonts w:ascii="黑体" w:eastAsia="黑体" w:hAnsi="黑体" w:hint="eastAsia"/>
          <w:spacing w:val="-12"/>
          <w:sz w:val="32"/>
          <w:szCs w:val="32"/>
        </w:rPr>
        <w:t>、</w:t>
      </w:r>
      <w:r w:rsidR="0043670C">
        <w:rPr>
          <w:rFonts w:ascii="黑体" w:eastAsia="黑体" w:hAnsi="黑体" w:hint="eastAsia"/>
          <w:kern w:val="0"/>
          <w:sz w:val="32"/>
          <w:szCs w:val="32"/>
        </w:rPr>
        <w:t>大肠菌群</w:t>
      </w:r>
    </w:p>
    <w:p w:rsidR="002E1F7F" w:rsidRDefault="0043670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</w:t>
      </w:r>
      <w:r w:rsidR="00FB2C3F">
        <w:rPr>
          <w:rFonts w:ascii="仿宋_GB2312" w:eastAsia="仿宋_GB2312" w:hint="eastAsia"/>
          <w:sz w:val="32"/>
          <w:szCs w:val="32"/>
        </w:rPr>
        <w:t>《食品安全国家标准 食品添加剂使用标准</w:t>
      </w:r>
      <w:r w:rsidR="00FB2C3F" w:rsidRPr="00B63DBA">
        <w:rPr>
          <w:rFonts w:ascii="Times New Roman" w:eastAsia="仿宋_GB2312" w:hAnsi="Times New Roman" w:cs="Times New Roman"/>
          <w:sz w:val="32"/>
          <w:szCs w:val="32"/>
        </w:rPr>
        <w:t>》（</w:t>
      </w:r>
      <w:r w:rsidR="00FB2C3F" w:rsidRPr="00B63DBA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AD62BA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FB2C3F" w:rsidRPr="00B63DBA">
        <w:rPr>
          <w:rFonts w:ascii="Times New Roman" w:eastAsia="仿宋_GB2312" w:hAnsi="Times New Roman" w:cs="Times New Roman"/>
          <w:sz w:val="32"/>
          <w:szCs w:val="32"/>
        </w:rPr>
        <w:t>2014</w:t>
      </w:r>
      <w:r w:rsidR="00FB2C3F" w:rsidRPr="00B63DBA">
        <w:rPr>
          <w:rFonts w:ascii="Times New Roman" w:eastAsia="仿宋_GB2312" w:hAnsi="Times New Roman" w:cs="Times New Roman"/>
          <w:sz w:val="32"/>
          <w:szCs w:val="32"/>
        </w:rPr>
        <w:t>）中规定</w:t>
      </w:r>
      <w:r w:rsidR="00B63DBA" w:rsidRPr="00B63DBA">
        <w:rPr>
          <w:rFonts w:ascii="Times New Roman" w:eastAsia="仿宋_GB2312" w:hAnsi="Times New Roman" w:cs="Times New Roman"/>
          <w:sz w:val="32"/>
          <w:szCs w:val="32"/>
        </w:rPr>
        <w:t>，</w:t>
      </w:r>
      <w:r w:rsidR="00FB2C3F" w:rsidRPr="00B63DBA">
        <w:rPr>
          <w:rFonts w:ascii="Times New Roman" w:eastAsia="仿宋_GB2312" w:hAnsi="Times New Roman" w:cs="Times New Roman"/>
          <w:sz w:val="32"/>
          <w:szCs w:val="32"/>
        </w:rPr>
        <w:t>一个样品的</w:t>
      </w:r>
      <w:r w:rsidR="00FB2C3F" w:rsidRPr="00B63DBA">
        <w:rPr>
          <w:rFonts w:ascii="Times New Roman" w:eastAsia="仿宋_GB2312" w:hAnsi="Times New Roman" w:cs="Times New Roman"/>
          <w:sz w:val="32"/>
          <w:szCs w:val="32"/>
        </w:rPr>
        <w:t>5</w:t>
      </w:r>
      <w:r w:rsidR="00FB2C3F" w:rsidRPr="00B63DBA">
        <w:rPr>
          <w:rFonts w:ascii="Times New Roman" w:eastAsia="仿宋_GB2312" w:hAnsi="Times New Roman" w:cs="Times New Roman"/>
          <w:sz w:val="32"/>
          <w:szCs w:val="32"/>
        </w:rPr>
        <w:t>次检测结果均不得超过</w:t>
      </w:r>
      <w:r w:rsidR="00FB2C3F" w:rsidRPr="00B63DBA">
        <w:rPr>
          <w:rFonts w:ascii="Times New Roman" w:eastAsia="仿宋_GB2312" w:hAnsi="Times New Roman" w:cs="Times New Roman"/>
          <w:sz w:val="32"/>
          <w:szCs w:val="32"/>
        </w:rPr>
        <w:t>100 CFU/g</w:t>
      </w:r>
      <w:r w:rsidR="00FB2C3F" w:rsidRPr="00B63DBA">
        <w:rPr>
          <w:rFonts w:ascii="Times New Roman" w:eastAsia="仿宋_GB2312" w:hAnsi="Times New Roman" w:cs="Times New Roman"/>
          <w:sz w:val="32"/>
          <w:szCs w:val="32"/>
        </w:rPr>
        <w:t>且至少</w:t>
      </w:r>
      <w:r w:rsidR="00FB2C3F" w:rsidRPr="00B63DBA">
        <w:rPr>
          <w:rFonts w:ascii="Times New Roman" w:eastAsia="仿宋_GB2312" w:hAnsi="Times New Roman" w:cs="Times New Roman"/>
          <w:sz w:val="32"/>
          <w:szCs w:val="32"/>
        </w:rPr>
        <w:t>3</w:t>
      </w:r>
      <w:r w:rsidR="00FB2C3F" w:rsidRPr="00B63DBA">
        <w:rPr>
          <w:rFonts w:ascii="Times New Roman" w:eastAsia="仿宋_GB2312" w:hAnsi="Times New Roman" w:cs="Times New Roman"/>
          <w:sz w:val="32"/>
          <w:szCs w:val="32"/>
        </w:rPr>
        <w:t>次检测结果不超过</w:t>
      </w:r>
      <w:r w:rsidR="00FB2C3F" w:rsidRPr="00B63DBA">
        <w:rPr>
          <w:rFonts w:ascii="Times New Roman" w:eastAsia="仿宋_GB2312" w:hAnsi="Times New Roman" w:cs="Times New Roman"/>
          <w:sz w:val="32"/>
          <w:szCs w:val="32"/>
        </w:rPr>
        <w:t>10 CFU/g</w:t>
      </w:r>
      <w:r w:rsidR="00FB2C3F" w:rsidRPr="00B63DBA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大肠菌群超标可能由于产品</w:t>
      </w:r>
      <w:r>
        <w:rPr>
          <w:rFonts w:ascii="仿宋_GB2312" w:eastAsia="仿宋_GB2312" w:hint="eastAsia"/>
          <w:sz w:val="32"/>
          <w:szCs w:val="32"/>
        </w:rPr>
        <w:t>的加工原料、包装材料受污染，或在生产过程中产品受人员、工器具等生产设备、环境的污染、有灭菌工艺的产品灭菌不彻底而导致。</w:t>
      </w:r>
    </w:p>
    <w:p w:rsidR="002E1F7F" w:rsidRDefault="001067F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43670C">
        <w:rPr>
          <w:rFonts w:ascii="黑体" w:eastAsia="黑体" w:hAnsi="黑体" w:hint="eastAsia"/>
          <w:sz w:val="32"/>
          <w:szCs w:val="32"/>
        </w:rPr>
        <w:t>、酸价</w:t>
      </w:r>
    </w:p>
    <w:p w:rsidR="002E1F7F" w:rsidRPr="00CE0E7F" w:rsidRDefault="004367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酸价主要反映食品中的油脂酸败程度。油脂酸败产生的醛、酮类化合物长期摄入会对健康有一定影响，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坚果与籽类</w:t>
      </w:r>
      <w:r w:rsidRPr="00CE0E7F">
        <w:rPr>
          <w:rFonts w:ascii="仿宋_GB2312" w:eastAsia="仿宋_GB2312" w:hAnsi="Times New Roman" w:cs="Times New Roman" w:hint="eastAsia"/>
          <w:sz w:val="32"/>
          <w:szCs w:val="32"/>
        </w:rPr>
        <w:t>食品》</w:t>
      </w:r>
      <w:r w:rsidR="00CE0E7F" w:rsidRPr="00B63DBA">
        <w:rPr>
          <w:rFonts w:ascii="Times New Roman" w:eastAsia="仿宋_GB2312" w:hAnsi="Times New Roman" w:cs="Times New Roman"/>
          <w:sz w:val="32"/>
          <w:szCs w:val="32"/>
        </w:rPr>
        <w:t>（</w:t>
      </w:r>
      <w:r w:rsidR="00CE0E7F" w:rsidRPr="00B63DBA">
        <w:rPr>
          <w:rFonts w:ascii="Times New Roman" w:eastAsia="仿宋_GB2312" w:hAnsi="Times New Roman" w:cs="Times New Roman"/>
          <w:sz w:val="32"/>
          <w:szCs w:val="32"/>
        </w:rPr>
        <w:t>GB 19300</w:t>
      </w:r>
      <w:r w:rsidR="00AD62BA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CE0E7F" w:rsidRPr="00B63DBA">
        <w:rPr>
          <w:rFonts w:ascii="Times New Roman" w:eastAsia="仿宋_GB2312" w:hAnsi="Times New Roman" w:cs="Times New Roman"/>
          <w:sz w:val="32"/>
          <w:szCs w:val="32"/>
        </w:rPr>
        <w:t>2014</w:t>
      </w:r>
      <w:r w:rsidR="00CE0E7F" w:rsidRPr="00B63DBA">
        <w:rPr>
          <w:rFonts w:ascii="Times New Roman" w:eastAsia="仿宋_GB2312" w:hAnsi="Times New Roman" w:cs="Times New Roman"/>
          <w:sz w:val="32"/>
          <w:szCs w:val="32"/>
        </w:rPr>
        <w:t>）</w:t>
      </w:r>
      <w:r w:rsidR="00255717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规定</w:t>
      </w:r>
      <w:r w:rsidR="0025571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C2228">
        <w:rPr>
          <w:rFonts w:ascii="Times New Roman" w:eastAsia="仿宋_GB2312" w:hAnsi="Times New Roman" w:cs="Times New Roman"/>
          <w:sz w:val="32"/>
          <w:szCs w:val="32"/>
        </w:rPr>
        <w:t>熟制坚果</w:t>
      </w:r>
      <w:proofErr w:type="gramStart"/>
      <w:r w:rsidR="00AC2228">
        <w:rPr>
          <w:rFonts w:ascii="Times New Roman" w:eastAsia="仿宋_GB2312" w:hAnsi="Times New Roman" w:cs="Times New Roman"/>
          <w:sz w:val="32"/>
          <w:szCs w:val="32"/>
        </w:rPr>
        <w:t>与籽类食品</w:t>
      </w:r>
      <w:proofErr w:type="gramEnd"/>
      <w:r w:rsidR="00AC2228">
        <w:rPr>
          <w:rFonts w:ascii="Times New Roman" w:eastAsia="仿宋_GB2312" w:hAnsi="Times New Roman" w:cs="Times New Roman"/>
          <w:sz w:val="32"/>
          <w:szCs w:val="32"/>
        </w:rPr>
        <w:t>酸价</w:t>
      </w:r>
      <w:r w:rsidR="00AC2228">
        <w:rPr>
          <w:rFonts w:ascii="Times New Roman" w:eastAsia="仿宋_GB2312" w:hAnsi="Times New Roman" w:cs="Times New Roman" w:hint="eastAsia"/>
          <w:sz w:val="32"/>
          <w:szCs w:val="32"/>
        </w:rPr>
        <w:t>不得超过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3 mg/g</w:t>
      </w:r>
      <w:r w:rsidRPr="00CE0E7F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CE0E7F">
        <w:rPr>
          <w:rFonts w:ascii="仿宋_GB2312" w:eastAsia="仿宋_GB2312" w:hint="eastAsia"/>
          <w:sz w:val="32"/>
          <w:szCs w:val="32"/>
        </w:rPr>
        <w:t>一般情况下，酸价超标的炒货食品，消费者在食用过程中能明显辨别出哈喇等异味，需避免食用。造成酸价不合格的主要原因有：原料采购上把关不严、生产工艺不达标、产品储藏条件不当，特别是存贮温度较高时易导致食品中的脂肪氧化酸败。</w:t>
      </w:r>
    </w:p>
    <w:p w:rsidR="002E1F7F" w:rsidRPr="00CE0E7F" w:rsidRDefault="001067F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 w:rsidR="0043670C" w:rsidRPr="00CE0E7F">
        <w:rPr>
          <w:rFonts w:ascii="黑体" w:eastAsia="黑体" w:hAnsi="黑体" w:cs="Times New Roman" w:hint="eastAsia"/>
          <w:sz w:val="32"/>
          <w:szCs w:val="32"/>
        </w:rPr>
        <w:t>、过氧化值</w:t>
      </w:r>
    </w:p>
    <w:p w:rsidR="001067FF" w:rsidRDefault="0043670C" w:rsidP="001067F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0E7F">
        <w:rPr>
          <w:rFonts w:ascii="仿宋_GB2312" w:eastAsia="仿宋_GB2312" w:hint="eastAsia"/>
          <w:sz w:val="32"/>
          <w:szCs w:val="32"/>
        </w:rPr>
        <w:t>过氧化值主要反映炒货食品中油脂是否氧化变质。随着产品中油脂氧化，过氧化值会逐步升高，虽一般不会对人体的健康产生损害，但食用不合格产品严重时会导致肠胃不适、腹泻等症状。</w:t>
      </w:r>
      <w:r w:rsidRPr="00CE0E7F">
        <w:rPr>
          <w:rFonts w:ascii="仿宋_GB2312" w:eastAsia="仿宋_GB2312" w:hAnsi="Times New Roman" w:cs="Times New Roman" w:hint="eastAsia"/>
          <w:sz w:val="32"/>
          <w:szCs w:val="32"/>
        </w:rPr>
        <w:t>《食品安全国家标准 坚果与籽类食品》</w:t>
      </w:r>
      <w:r w:rsidRPr="001067F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1067FF">
        <w:rPr>
          <w:rFonts w:ascii="Times New Roman" w:eastAsia="仿宋_GB2312" w:hAnsi="Times New Roman" w:cs="Times New Roman"/>
          <w:sz w:val="32"/>
          <w:szCs w:val="32"/>
        </w:rPr>
        <w:t>GB 19300</w:t>
      </w:r>
      <w:r w:rsidR="00AD62BA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1067FF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1067FF">
        <w:rPr>
          <w:rFonts w:ascii="仿宋_GB2312" w:eastAsia="仿宋_GB2312" w:hAnsi="Times New Roman" w:cs="Times New Roman" w:hint="eastAsia"/>
          <w:sz w:val="32"/>
          <w:szCs w:val="32"/>
        </w:rPr>
        <w:t>)</w:t>
      </w:r>
      <w:r w:rsidR="006A69F0">
        <w:rPr>
          <w:rFonts w:ascii="仿宋_GB2312" w:eastAsia="仿宋_GB2312" w:hAnsi="Times New Roman" w:cs="Times New Roman" w:hint="eastAsia"/>
          <w:sz w:val="32"/>
          <w:szCs w:val="32"/>
        </w:rPr>
        <w:t>中</w:t>
      </w:r>
      <w:r w:rsidRPr="001067FF">
        <w:rPr>
          <w:rFonts w:ascii="Times New Roman" w:eastAsia="仿宋_GB2312" w:hAnsi="Times New Roman" w:cs="Times New Roman"/>
          <w:sz w:val="32"/>
          <w:szCs w:val="32"/>
        </w:rPr>
        <w:t>规定</w:t>
      </w:r>
      <w:r w:rsidR="006A69F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1067FF">
        <w:rPr>
          <w:rFonts w:ascii="Times New Roman" w:eastAsia="仿宋_GB2312" w:hAnsi="Times New Roman" w:cs="Times New Roman"/>
          <w:sz w:val="32"/>
          <w:szCs w:val="32"/>
        </w:rPr>
        <w:t>熟制葵花籽过氧化值的限量值为</w:t>
      </w:r>
      <w:r w:rsidRPr="001067FF">
        <w:rPr>
          <w:rFonts w:ascii="Times New Roman" w:eastAsia="仿宋_GB2312" w:hAnsi="Times New Roman" w:cs="Times New Roman"/>
          <w:sz w:val="32"/>
          <w:szCs w:val="32"/>
        </w:rPr>
        <w:t>0</w:t>
      </w:r>
      <w:r w:rsidRPr="006A69F0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067FF">
        <w:rPr>
          <w:rFonts w:ascii="Times New Roman" w:eastAsia="仿宋_GB2312" w:hAnsi="Times New Roman" w:cs="Times New Roman"/>
          <w:sz w:val="32"/>
          <w:szCs w:val="32"/>
        </w:rPr>
        <w:t>80 g/100g</w:t>
      </w:r>
      <w:r w:rsidRPr="001067FF">
        <w:rPr>
          <w:rFonts w:ascii="Times New Roman" w:eastAsia="仿宋_GB2312" w:hAnsi="Times New Roman" w:cs="Times New Roman"/>
          <w:sz w:val="32"/>
          <w:szCs w:val="32"/>
        </w:rPr>
        <w:t>，其他熟制坚果</w:t>
      </w:r>
      <w:proofErr w:type="gramStart"/>
      <w:r w:rsidRPr="001067FF">
        <w:rPr>
          <w:rFonts w:ascii="Times New Roman" w:eastAsia="仿宋_GB2312" w:hAnsi="Times New Roman" w:cs="Times New Roman"/>
          <w:sz w:val="32"/>
          <w:szCs w:val="32"/>
        </w:rPr>
        <w:t>与籽类食品</w:t>
      </w:r>
      <w:proofErr w:type="gramEnd"/>
      <w:r w:rsidRPr="001067FF">
        <w:rPr>
          <w:rFonts w:ascii="Times New Roman" w:eastAsia="仿宋_GB2312" w:hAnsi="Times New Roman" w:cs="Times New Roman"/>
          <w:sz w:val="32"/>
          <w:szCs w:val="32"/>
        </w:rPr>
        <w:t>过氧化值的限量值为</w:t>
      </w:r>
      <w:r w:rsidRPr="001067FF">
        <w:rPr>
          <w:rFonts w:ascii="Times New Roman" w:eastAsia="仿宋_GB2312" w:hAnsi="Times New Roman" w:cs="Times New Roman"/>
          <w:sz w:val="32"/>
          <w:szCs w:val="32"/>
        </w:rPr>
        <w:t>0</w:t>
      </w:r>
      <w:r w:rsidRPr="006A69F0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067FF">
        <w:rPr>
          <w:rFonts w:ascii="Times New Roman" w:eastAsia="仿宋_GB2312" w:hAnsi="Times New Roman" w:cs="Times New Roman"/>
          <w:sz w:val="32"/>
          <w:szCs w:val="32"/>
        </w:rPr>
        <w:t>50 g/100g</w:t>
      </w:r>
      <w:r w:rsidRPr="001067FF"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一般情况下，氧化变质的炒货食品，消费者在食用过程中能明显辨别出哈喇等异味，需避免食用。造成过氧化值超标的原因可能是原料储存不当导致坚果</w:t>
      </w:r>
      <w:proofErr w:type="gramStart"/>
      <w:r>
        <w:rPr>
          <w:rFonts w:ascii="仿宋_GB2312" w:eastAsia="仿宋_GB2312" w:hint="eastAsia"/>
          <w:sz w:val="32"/>
          <w:szCs w:val="32"/>
        </w:rPr>
        <w:t>与籽类的</w:t>
      </w:r>
      <w:proofErr w:type="gramEnd"/>
      <w:r>
        <w:rPr>
          <w:rFonts w:ascii="仿宋_GB2312" w:eastAsia="仿宋_GB2312" w:hint="eastAsia"/>
          <w:sz w:val="32"/>
          <w:szCs w:val="32"/>
        </w:rPr>
        <w:t>脂肪氧化、生产用油变质，或者储存过程中环境条件控制不当，导致产品酸败变质。</w:t>
      </w:r>
    </w:p>
    <w:p w:rsidR="001067FF" w:rsidRPr="00770D99" w:rsidRDefault="001067FF" w:rsidP="001067F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>
        <w:rPr>
          <w:rFonts w:ascii="黑体" w:eastAsia="黑体" w:hAnsi="黑体" w:cs="Times New Roman"/>
          <w:sz w:val="32"/>
          <w:szCs w:val="32"/>
        </w:rPr>
        <w:t>、</w:t>
      </w:r>
      <w:r w:rsidRPr="00770D99">
        <w:rPr>
          <w:rFonts w:ascii="黑体" w:eastAsia="黑体" w:hAnsi="黑体" w:cs="Times New Roman" w:hint="eastAsia"/>
          <w:sz w:val="32"/>
          <w:szCs w:val="32"/>
        </w:rPr>
        <w:t>酸值</w:t>
      </w:r>
    </w:p>
    <w:p w:rsidR="001067FF" w:rsidRDefault="001067FF" w:rsidP="001067FF">
      <w:pPr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酸值主要反映食品中的油脂酸败的程度。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造成酸值不合格</w:t>
      </w:r>
      <w:r>
        <w:rPr>
          <w:rFonts w:ascii="仿宋_GB2312" w:eastAsia="仿宋_GB2312" w:hint="eastAsia"/>
          <w:sz w:val="32"/>
          <w:szCs w:val="32"/>
        </w:rPr>
        <w:t>的主要原因有：食品生产者原料采购上把关不严，油脂加工工艺不达标；产品储藏条件不当，特别是在环境温度较高时，易导致食品中油脂的氧化酸败。《亚麻籽油》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GB/T 8235—2008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）中规定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压榨成品亚麻籽油的酸值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(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KOH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计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)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限值分别为</w:t>
      </w:r>
      <w:r w:rsidRPr="00B63DBA">
        <w:rPr>
          <w:rFonts w:ascii="仿宋_GB2312" w:eastAsia="仿宋_GB2312" w:hAnsi="Times New Roman" w:cs="Times New Roman" w:hint="eastAsia"/>
          <w:sz w:val="32"/>
          <w:szCs w:val="32"/>
        </w:rPr>
        <w:t>≤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1.0mg/g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（一级）、</w:t>
      </w:r>
      <w:r w:rsidRPr="00B63DBA">
        <w:rPr>
          <w:rFonts w:ascii="仿宋_GB2312" w:eastAsia="仿宋_GB2312" w:hAnsi="Times New Roman" w:cs="Times New Roman" w:hint="eastAsia"/>
          <w:sz w:val="32"/>
          <w:szCs w:val="32"/>
        </w:rPr>
        <w:t>≤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3.0mg/g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（二级）；浸出成品亚麻籽油的酸值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(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KOH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计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)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限值分别为</w:t>
      </w:r>
      <w:r w:rsidRPr="00B63DBA">
        <w:rPr>
          <w:rFonts w:ascii="仿宋_GB2312" w:eastAsia="仿宋_GB2312" w:hAnsi="Times New Roman" w:cs="Times New Roman" w:hint="eastAsia"/>
          <w:sz w:val="32"/>
          <w:szCs w:val="32"/>
        </w:rPr>
        <w:t>≤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0.2mg/g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（一级）、</w:t>
      </w:r>
      <w:r w:rsidRPr="00B63DBA">
        <w:rPr>
          <w:rFonts w:ascii="仿宋_GB2312" w:eastAsia="仿宋_GB2312" w:hAnsi="Times New Roman" w:cs="Times New Roman" w:hint="eastAsia"/>
          <w:sz w:val="32"/>
          <w:szCs w:val="32"/>
        </w:rPr>
        <w:t>≤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0.3mg/g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（二级）、</w:t>
      </w:r>
      <w:r w:rsidRPr="00B63DBA">
        <w:rPr>
          <w:rFonts w:ascii="仿宋_GB2312" w:eastAsia="仿宋_GB2312" w:hAnsi="Times New Roman" w:cs="Times New Roman" w:hint="eastAsia"/>
          <w:sz w:val="32"/>
          <w:szCs w:val="32"/>
        </w:rPr>
        <w:t>≤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1.0mg/g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（三级）、</w:t>
      </w:r>
      <w:r w:rsidRPr="00B63DBA">
        <w:rPr>
          <w:rFonts w:ascii="仿宋_GB2312" w:eastAsia="仿宋_GB2312" w:hAnsi="Times New Roman" w:cs="Times New Roman" w:hint="eastAsia"/>
          <w:sz w:val="32"/>
          <w:szCs w:val="32"/>
        </w:rPr>
        <w:t>≤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3.0mg/g</w:t>
      </w:r>
      <w:r w:rsidRPr="00B63DBA">
        <w:rPr>
          <w:rFonts w:ascii="Times New Roman" w:eastAsia="仿宋_GB2312" w:hAnsi="Times New Roman" w:cs="Times New Roman"/>
          <w:sz w:val="32"/>
          <w:szCs w:val="32"/>
        </w:rPr>
        <w:t>（四级）。</w:t>
      </w:r>
      <w:r>
        <w:rPr>
          <w:rFonts w:ascii="仿宋_GB2312" w:eastAsia="仿宋_GB2312" w:hint="eastAsia"/>
          <w:sz w:val="32"/>
          <w:szCs w:val="32"/>
        </w:rPr>
        <w:t>油脂酸败产生的醛酮类等化合物长期摄入会对健康有一定影响，但一般情况下，消费者可以辨别出油脂酸败特有的哈喇等异味，需避免食用。</w:t>
      </w:r>
    </w:p>
    <w:p w:rsidR="002E1F7F" w:rsidRPr="001067FF" w:rsidRDefault="002E1F7F" w:rsidP="00CE0E7F">
      <w:pPr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2E1F7F" w:rsidRPr="001067FF" w:rsidSect="00FE51F0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A8" w:rsidRDefault="007B4BA8">
      <w:r>
        <w:separator/>
      </w:r>
    </w:p>
  </w:endnote>
  <w:endnote w:type="continuationSeparator" w:id="0">
    <w:p w:rsidR="007B4BA8" w:rsidRDefault="007B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</w:sdtPr>
    <w:sdtEndPr/>
    <w:sdtContent>
      <w:p w:rsidR="002E1F7F" w:rsidRDefault="00FE51F0">
        <w:pPr>
          <w:pStyle w:val="a3"/>
          <w:jc w:val="center"/>
        </w:pPr>
        <w:r>
          <w:fldChar w:fldCharType="begin"/>
        </w:r>
        <w:r w:rsidR="0043670C">
          <w:instrText>PAGE   \* MERGEFORMAT</w:instrText>
        </w:r>
        <w:r>
          <w:fldChar w:fldCharType="separate"/>
        </w:r>
        <w:r w:rsidR="00AD62BA" w:rsidRPr="00AD62BA">
          <w:rPr>
            <w:noProof/>
            <w:lang w:val="zh-CN"/>
          </w:rPr>
          <w:t>2</w:t>
        </w:r>
        <w:r>
          <w:fldChar w:fldCharType="end"/>
        </w:r>
      </w:p>
    </w:sdtContent>
  </w:sdt>
  <w:p w:rsidR="002E1F7F" w:rsidRDefault="002E1F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A8" w:rsidRDefault="007B4BA8">
      <w:r>
        <w:separator/>
      </w:r>
    </w:p>
  </w:footnote>
  <w:footnote w:type="continuationSeparator" w:id="0">
    <w:p w:rsidR="007B4BA8" w:rsidRDefault="007B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22C90"/>
    <w:rsid w:val="00057C9D"/>
    <w:rsid w:val="000800AE"/>
    <w:rsid w:val="00082CA4"/>
    <w:rsid w:val="00097E5A"/>
    <w:rsid w:val="000A1CA7"/>
    <w:rsid w:val="000F4B86"/>
    <w:rsid w:val="00102897"/>
    <w:rsid w:val="001067FF"/>
    <w:rsid w:val="00113712"/>
    <w:rsid w:val="00116956"/>
    <w:rsid w:val="00124BDE"/>
    <w:rsid w:val="00156C2C"/>
    <w:rsid w:val="00194BBF"/>
    <w:rsid w:val="002173EB"/>
    <w:rsid w:val="00255717"/>
    <w:rsid w:val="002E1F7F"/>
    <w:rsid w:val="003338A0"/>
    <w:rsid w:val="00357F27"/>
    <w:rsid w:val="0038633A"/>
    <w:rsid w:val="00412DAF"/>
    <w:rsid w:val="00417336"/>
    <w:rsid w:val="0043670C"/>
    <w:rsid w:val="004704CD"/>
    <w:rsid w:val="00517C5A"/>
    <w:rsid w:val="00534A48"/>
    <w:rsid w:val="0057524F"/>
    <w:rsid w:val="005771A5"/>
    <w:rsid w:val="005B58B4"/>
    <w:rsid w:val="005D7D45"/>
    <w:rsid w:val="00674ABF"/>
    <w:rsid w:val="00687316"/>
    <w:rsid w:val="006A69F0"/>
    <w:rsid w:val="006F32DE"/>
    <w:rsid w:val="00770D99"/>
    <w:rsid w:val="0077575E"/>
    <w:rsid w:val="0077710D"/>
    <w:rsid w:val="00783A82"/>
    <w:rsid w:val="007B4BA8"/>
    <w:rsid w:val="007F1C26"/>
    <w:rsid w:val="00804CA1"/>
    <w:rsid w:val="00873531"/>
    <w:rsid w:val="00880F04"/>
    <w:rsid w:val="00895177"/>
    <w:rsid w:val="008D7ECA"/>
    <w:rsid w:val="009756BD"/>
    <w:rsid w:val="009B17D9"/>
    <w:rsid w:val="009B1CE0"/>
    <w:rsid w:val="009C78F5"/>
    <w:rsid w:val="009E0C03"/>
    <w:rsid w:val="009F4B8A"/>
    <w:rsid w:val="00A1575B"/>
    <w:rsid w:val="00AB0288"/>
    <w:rsid w:val="00AB7501"/>
    <w:rsid w:val="00AC2228"/>
    <w:rsid w:val="00AC79C1"/>
    <w:rsid w:val="00AD62BA"/>
    <w:rsid w:val="00B2770C"/>
    <w:rsid w:val="00B51E28"/>
    <w:rsid w:val="00B60BFA"/>
    <w:rsid w:val="00B63DBA"/>
    <w:rsid w:val="00C24969"/>
    <w:rsid w:val="00CE0330"/>
    <w:rsid w:val="00CE0E7F"/>
    <w:rsid w:val="00CE13D2"/>
    <w:rsid w:val="00CF0D96"/>
    <w:rsid w:val="00D16C55"/>
    <w:rsid w:val="00D2271C"/>
    <w:rsid w:val="00D413F8"/>
    <w:rsid w:val="00E45F03"/>
    <w:rsid w:val="00E610CF"/>
    <w:rsid w:val="00E764E7"/>
    <w:rsid w:val="00F30821"/>
    <w:rsid w:val="00F56DA2"/>
    <w:rsid w:val="00FB2C3F"/>
    <w:rsid w:val="00FE1AF9"/>
    <w:rsid w:val="00FE51F0"/>
    <w:rsid w:val="0A791394"/>
    <w:rsid w:val="0ED939C8"/>
    <w:rsid w:val="140251A9"/>
    <w:rsid w:val="1EC02FE2"/>
    <w:rsid w:val="2AB044CF"/>
    <w:rsid w:val="2EA720DB"/>
    <w:rsid w:val="35EE3827"/>
    <w:rsid w:val="3A1F6E30"/>
    <w:rsid w:val="47AF3148"/>
    <w:rsid w:val="4FC942EB"/>
    <w:rsid w:val="58DF4754"/>
    <w:rsid w:val="5F0356B6"/>
    <w:rsid w:val="6A2F2D8A"/>
    <w:rsid w:val="6CA33349"/>
    <w:rsid w:val="6F8C16D3"/>
    <w:rsid w:val="782B6D15"/>
    <w:rsid w:val="78F6301B"/>
    <w:rsid w:val="7AE21A6F"/>
    <w:rsid w:val="7D524D60"/>
    <w:rsid w:val="7D9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E5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E5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E51F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E51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2C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2C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2C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2C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F6E26F-9A20-4C6D-B0DF-3723985C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666</Characters>
  <Application>Microsoft Office Word</Application>
  <DocSecurity>0</DocSecurity>
  <Lines>27</Lines>
  <Paragraphs>12</Paragraphs>
  <ScaleCrop>false</ScaleCrop>
  <Company>http://sdwm.org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秦广玲</cp:lastModifiedBy>
  <cp:revision>9</cp:revision>
  <cp:lastPrinted>2016-09-01T02:58:00Z</cp:lastPrinted>
  <dcterms:created xsi:type="dcterms:W3CDTF">2017-11-05T13:04:00Z</dcterms:created>
  <dcterms:modified xsi:type="dcterms:W3CDTF">2017-11-13T06:51:00Z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