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60"/>
        </w:tabs>
        <w:adjustRightInd w:val="0"/>
        <w:spacing w:after="156" w:afterLines="50"/>
        <w:jc w:val="center"/>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（三）涉及金额较大的重点联合惩戒失信企业公告名单</w:t>
      </w:r>
    </w:p>
    <w:p>
      <w:pPr>
        <w:pStyle w:val="4"/>
        <w:keepNext w:val="0"/>
        <w:keepLines w:val="0"/>
        <w:pageBreakBefore w:val="0"/>
        <w:widowControl/>
        <w:kinsoku/>
        <w:wordWrap/>
        <w:overflowPunct/>
        <w:topLinePunct w:val="0"/>
        <w:autoSpaceDE/>
        <w:autoSpaceDN/>
        <w:bidi w:val="0"/>
        <w:adjustRightInd/>
        <w:snapToGrid/>
        <w:spacing w:beforeLines="0" w:line="300" w:lineRule="exact"/>
        <w:textAlignment w:val="auto"/>
        <w:outlineLvl w:val="1"/>
        <w:rPr>
          <w:rFonts w:ascii="Times New Roman" w:hAnsi="Times New Roman" w:eastAsia="方正仿宋_GBK" w:cs="Times New Roman"/>
          <w:b/>
          <w:sz w:val="30"/>
          <w:szCs w:val="30"/>
        </w:rPr>
      </w:pPr>
      <w:r>
        <w:rPr>
          <w:rFonts w:hint="eastAsia" w:ascii="Times New Roman" w:hAnsi="Times New Roman" w:eastAsia="方正仿宋_GBK" w:cs="Times New Roman"/>
          <w:b/>
          <w:sz w:val="30"/>
          <w:szCs w:val="30"/>
        </w:rPr>
        <w:t>附表</w:t>
      </w:r>
      <w:r>
        <w:rPr>
          <w:rFonts w:hint="eastAsia" w:ascii="Times New Roman" w:hAnsi="Times New Roman" w:eastAsia="方正仿宋_GBK" w:cs="Times New Roman"/>
          <w:b/>
          <w:sz w:val="30"/>
          <w:szCs w:val="30"/>
          <w:lang w:val="en-US" w:eastAsia="zh-CN"/>
        </w:rPr>
        <w:t>4</w:t>
      </w:r>
      <w:r>
        <w:rPr>
          <w:rFonts w:hint="eastAsia" w:ascii="Times New Roman" w:hAnsi="Times New Roman" w:eastAsia="方正仿宋_GBK" w:cs="Times New Roman"/>
          <w:b/>
          <w:sz w:val="30"/>
          <w:szCs w:val="30"/>
        </w:rPr>
        <w:t>：新增涉案金额亿元以上失信被执行人企业名单</w:t>
      </w:r>
    </w:p>
    <w:p>
      <w:pPr>
        <w:pStyle w:val="4"/>
        <w:keepNext w:val="0"/>
        <w:keepLines w:val="0"/>
        <w:pageBreakBefore w:val="0"/>
        <w:widowControl/>
        <w:kinsoku/>
        <w:wordWrap/>
        <w:overflowPunct/>
        <w:topLinePunct w:val="0"/>
        <w:autoSpaceDE/>
        <w:autoSpaceDN/>
        <w:bidi w:val="0"/>
        <w:adjustRightInd/>
        <w:snapToGrid/>
        <w:spacing w:beforeLines="0" w:line="300" w:lineRule="exact"/>
        <w:textAlignment w:val="auto"/>
        <w:outlineLvl w:val="1"/>
        <w:rPr>
          <w:rFonts w:ascii="Times New Roman" w:hAnsi="Times New Roman" w:eastAsia="方正仿宋_GBK" w:cs="Times New Roman"/>
          <w:sz w:val="30"/>
          <w:szCs w:val="30"/>
        </w:rPr>
      </w:pPr>
      <w:r>
        <w:rPr>
          <w:rFonts w:hint="eastAsia" w:ascii="Times New Roman" w:hAnsi="Times New Roman" w:eastAsia="方正仿宋_GBK" w:cs="Times New Roman"/>
          <w:b/>
          <w:sz w:val="30"/>
          <w:szCs w:val="30"/>
        </w:rPr>
        <w:t>（2019年</w:t>
      </w:r>
      <w:r>
        <w:rPr>
          <w:rFonts w:hint="eastAsia" w:ascii="Times New Roman" w:hAnsi="Times New Roman" w:eastAsia="方正仿宋_GBK" w:cs="Times New Roman"/>
          <w:b/>
          <w:sz w:val="30"/>
          <w:szCs w:val="30"/>
          <w:lang w:val="en-US" w:eastAsia="zh-CN"/>
        </w:rPr>
        <w:t>9</w:t>
      </w:r>
      <w:r>
        <w:rPr>
          <w:rFonts w:hint="eastAsia" w:ascii="Times New Roman" w:hAnsi="Times New Roman" w:eastAsia="方正仿宋_GBK" w:cs="Times New Roman"/>
          <w:b/>
          <w:sz w:val="30"/>
          <w:szCs w:val="30"/>
        </w:rPr>
        <w:t>月）</w:t>
      </w:r>
    </w:p>
    <w:tbl>
      <w:tblPr>
        <w:tblStyle w:val="2"/>
        <w:tblW w:w="8695" w:type="dxa"/>
        <w:jc w:val="center"/>
        <w:tblInd w:w="-109" w:type="dxa"/>
        <w:shd w:val="clear" w:color="auto" w:fill="auto"/>
        <w:tblLayout w:type="fixed"/>
        <w:tblCellMar>
          <w:top w:w="0" w:type="dxa"/>
          <w:left w:w="0" w:type="dxa"/>
          <w:bottom w:w="0" w:type="dxa"/>
          <w:right w:w="0" w:type="dxa"/>
        </w:tblCellMar>
      </w:tblPr>
      <w:tblGrid>
        <w:gridCol w:w="4596"/>
        <w:gridCol w:w="2685"/>
        <w:gridCol w:w="1414"/>
      </w:tblGrid>
      <w:tr>
        <w:tblPrEx>
          <w:shd w:val="clear" w:color="auto" w:fill="auto"/>
          <w:tblLayout w:type="fixed"/>
          <w:tblCellMar>
            <w:top w:w="0" w:type="dxa"/>
            <w:left w:w="0" w:type="dxa"/>
            <w:bottom w:w="0" w:type="dxa"/>
            <w:right w:w="0" w:type="dxa"/>
          </w:tblCellMar>
        </w:tblPrEx>
        <w:trPr>
          <w:trHeight w:val="630"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
                <w:i w:val="0"/>
                <w:kern w:val="2"/>
                <w:sz w:val="24"/>
                <w:szCs w:val="24"/>
                <w:u w:val="none"/>
                <w:lang w:val="en-US" w:eastAsia="zh-CN" w:bidi="ar"/>
              </w:rPr>
            </w:pPr>
            <w:r>
              <w:rPr>
                <w:rFonts w:hint="eastAsia" w:ascii="Times New Roman" w:hAnsi="Times New Roman" w:eastAsia="方正仿宋_GBK" w:cs="Times New Roman"/>
                <w:b/>
                <w:i w:val="0"/>
                <w:kern w:val="2"/>
                <w:sz w:val="24"/>
                <w:szCs w:val="24"/>
                <w:u w:val="none"/>
                <w:lang w:val="en-US" w:eastAsia="zh-CN" w:bidi="ar"/>
              </w:rPr>
              <w:t>企业名称</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
                <w:i w:val="0"/>
                <w:kern w:val="2"/>
                <w:sz w:val="24"/>
                <w:szCs w:val="24"/>
                <w:u w:val="none"/>
                <w:lang w:val="en-US" w:eastAsia="zh-CN" w:bidi="ar"/>
              </w:rPr>
            </w:pPr>
            <w:r>
              <w:rPr>
                <w:rFonts w:hint="eastAsia" w:ascii="Times New Roman" w:hAnsi="Times New Roman" w:eastAsia="方正仿宋_GBK" w:cs="Times New Roman"/>
                <w:b/>
                <w:i w:val="0"/>
                <w:kern w:val="2"/>
                <w:sz w:val="24"/>
                <w:szCs w:val="24"/>
                <w:u w:val="none"/>
                <w:lang w:val="en-US" w:eastAsia="zh-CN" w:bidi="ar"/>
              </w:rPr>
              <w:t>统一社会信用代码</w:t>
            </w:r>
            <w:r>
              <w:rPr>
                <w:rFonts w:hint="default" w:ascii="Times New Roman" w:hAnsi="Times New Roman" w:eastAsia="方正仿宋_GBK" w:cs="Times New Roman"/>
                <w:b/>
                <w:i w:val="0"/>
                <w:kern w:val="2"/>
                <w:sz w:val="24"/>
                <w:szCs w:val="24"/>
                <w:u w:val="none"/>
                <w:lang w:val="en-US" w:eastAsia="zh-CN" w:bidi="ar"/>
              </w:rPr>
              <w:t>/</w:t>
            </w:r>
            <w:r>
              <w:rPr>
                <w:rFonts w:hint="default" w:ascii="Times New Roman" w:hAnsi="Times New Roman" w:eastAsia="方正仿宋_GBK" w:cs="Times New Roman"/>
                <w:b/>
                <w:i w:val="0"/>
                <w:kern w:val="2"/>
                <w:sz w:val="24"/>
                <w:szCs w:val="24"/>
                <w:u w:val="none"/>
                <w:lang w:val="en-US" w:eastAsia="zh-CN" w:bidi="ar"/>
              </w:rPr>
              <w:br w:type="textWrapping"/>
            </w:r>
            <w:r>
              <w:rPr>
                <w:rFonts w:hint="eastAsia" w:ascii="Times New Roman" w:hAnsi="Times New Roman" w:eastAsia="方正仿宋_GBK" w:cs="Times New Roman"/>
                <w:b/>
                <w:i w:val="0"/>
                <w:kern w:val="2"/>
                <w:sz w:val="24"/>
                <w:szCs w:val="24"/>
                <w:u w:val="none"/>
                <w:lang w:val="en-US" w:eastAsia="zh-CN" w:bidi="ar"/>
              </w:rPr>
              <w:t>工商注册号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
                <w:i w:val="0"/>
                <w:kern w:val="2"/>
                <w:sz w:val="24"/>
                <w:szCs w:val="24"/>
                <w:u w:val="none"/>
                <w:lang w:val="en-US" w:eastAsia="zh-CN" w:bidi="ar"/>
              </w:rPr>
            </w:pPr>
            <w:r>
              <w:rPr>
                <w:rFonts w:hint="eastAsia" w:ascii="Times New Roman" w:hAnsi="Times New Roman" w:eastAsia="方正仿宋_GBK" w:cs="Times New Roman"/>
                <w:b/>
                <w:i w:val="0"/>
                <w:kern w:val="2"/>
                <w:sz w:val="24"/>
                <w:szCs w:val="24"/>
                <w:u w:val="none"/>
                <w:lang w:val="en-US" w:eastAsia="zh-CN" w:bidi="ar"/>
              </w:rPr>
              <w:t>涉案金额</w:t>
            </w:r>
            <w:r>
              <w:rPr>
                <w:rFonts w:hint="default" w:ascii="Times New Roman" w:hAnsi="Times New Roman" w:eastAsia="方正仿宋_GBK" w:cs="Times New Roman"/>
                <w:b/>
                <w:i w:val="0"/>
                <w:kern w:val="2"/>
                <w:sz w:val="24"/>
                <w:szCs w:val="24"/>
                <w:u w:val="none"/>
                <w:lang w:val="en-US" w:eastAsia="zh-CN" w:bidi="ar"/>
              </w:rPr>
              <w:br w:type="textWrapping"/>
            </w:r>
            <w:r>
              <w:rPr>
                <w:rFonts w:hint="eastAsia" w:ascii="Times New Roman" w:hAnsi="Times New Roman" w:eastAsia="方正仿宋_GBK" w:cs="Times New Roman"/>
                <w:b/>
                <w:i w:val="0"/>
                <w:kern w:val="2"/>
                <w:sz w:val="24"/>
                <w:szCs w:val="24"/>
                <w:u w:val="none"/>
                <w:lang w:val="en-US" w:eastAsia="zh-CN" w:bidi="ar"/>
              </w:rPr>
              <w:t>（亿元）</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中国青旅实业发展有限责任公司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91110101101124897Y</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10.12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吴江静思园</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91320509746814457K</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8.04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苏州静思园园林工程有限公司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913205096993770627</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8.04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吴江市庆磊实业有限公司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91320509703696171E</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8.04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吴江静思园投资发展有限公司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91320509775418189E</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8.04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中国青旅实业发展有限责任公司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91110101101124897Y</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8.04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苏州静思园有限公司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91320509MA1MNHHH8B</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8.04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福建省莆田市泽润房地产开发有限公司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91350302550977318N</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5.64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福建省涵江港涵房地产开发有限公司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91350300611253488H</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5.64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北京宇驰瑞德投资有限公司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91110111330354418M</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4.41</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北京文化硅谷资产运营集团有限公司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911101110592043232</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4.41</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北京首润投资管理有限公司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91110105062845957A</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4.41</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北京鸿宁投资有限公司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91110105069602552M</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4.41</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蓝鼎实业(湖北)有限公司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91429004181688042K</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4.41</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北京市神州百戏文化产业有限公司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91110111560356742J</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4.41</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北京一禾启程商务管理有限公司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911101050696010900</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4.41</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北京华嬉云游文化产业有限公司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91110111580845287U</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4.41</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成都联星投资有限公司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91510114665316579H</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4.00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成都高山流水投资管理有限公司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510112752829225</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4.00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成都中塑投资集团有限公司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915101146909419315</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4.00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陕西联星科工贸集团有限公司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91610000623747653Y</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4.00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成都联星置业发展有限公司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510181743639948</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4.00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佛山市根本棉业有限公司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440602000031702</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3.49</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广州新目标投资有限公司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91440101766128761G</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3.49</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江苏宜鹏重工有限公司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913202826858730497</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3.22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河北融投担保集团有限公司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911300006610578481</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3.19</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河北融投创业投资有限公司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91130000572849165A</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3.19</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广东奇鹏生物科技有限公司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91445200696400474P</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2.82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广东鹏锦实业有限公司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914452037701580747</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2.82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广东速力实业股份有限公司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914452000812075391</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2.82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广东兆佳实业有限公司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91445200304216409W</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2.82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广东凯业贸易有限公司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9144520056820441XH</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2.82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深圳市鑫腾华资产管理有限公司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91440300311697685A</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2.82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广东天锦实业股份有限公司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91445200MA4UMPA89E</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2.82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惠州市鸿企房地产开发有限公司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91441303779219822F</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2.80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深圳市保利天同投资有限公司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914403005815590632</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2.80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贵阳思源房地产开发有限公司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9152010069270063XN</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2.80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贵阳海洋房地产开发有限公司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91520100755351044H</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2.80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山东东方华龙工贸集团有限公司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91370523613396124E</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2.61</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邯郸市邯台房地产开发有限公司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911304001068146007</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2.41</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河南省隆庆祥服饰有限公司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914101047295962672</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2.34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唐山国泰纸业有限公司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911302217575419336</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2.34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河北昌泰纸业有限公司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91130229560475338Q</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2.34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河南华晶超硬材料股份有限公司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91410100732485322F</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2.32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郑州高新科技企业加速器开发有限公司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91410100053360202C</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2.32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河北鑫达钢铁集团有限公司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91130283743423645P</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2.24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唐山市春兴特种钢有限公司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91130200750266262H</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2.13</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山东正顺车轮有限公司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913705237526827456</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2.08</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山东大新化工有限公司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91370303694448503P</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2.05</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霸州市胜芳万路建材有限公司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911310816013544020</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1.90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河北会兴金属制品有限公司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91131081601340676A</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1.90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霸州市紫旭贸易有限公司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91131081689259396K</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1.90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山东乾和生物科技有限公司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91371421698059425B</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1.80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宝生时代包装材料江苏有限公司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91321023301917592C</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1.75</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中科建设开发总公司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91310000633073234F</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1.75</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常熟华元房地产开发有限公司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91320581669615074B</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1.75</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平顶山泓源能源科技开发有限公司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91410400684646418Y</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1.69</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河南省平顶山泓利煤焦有限公司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9141040272864583X6</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1.69</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湖北嘉禄建设工程有限公司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91421100558400820N</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1.69</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黄冈市晟昶贸易有限公司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91421121585469655E</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1.69</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湖北亿嘉亿贸易有限公司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91421100685610409M</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1.69</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北镇市恒信粮食购销有限责任公司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91210725791581648R</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1.69</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松潘县松川水电开发有限责任公司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513224762349268</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1.63</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安阳市豫北金铅有限责任公司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91410506739077575C</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河南三丰铜业有限责任公司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914105067751029771</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河南宏阳建设集团有限公司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410116678053990</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1.58</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河南司法警官职业学院</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12410000415800843M</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1.58</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山西同辉重工有限责任公司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91141100767103822H</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1.57</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吕梁永宁煤焦集团有限责任公司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91141100757289854L</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1.57</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深圳市新一佳商业发展有限公司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9144030019231250XW</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1.55</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新一佳超市有限公司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914403001923250797</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1.55</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讷河瑞阳二号投资管理有限公司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91230281090377169W</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1.51</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开原市再生资源回收和综合利用市场有限公司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9121128279769263XL</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1.48</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安徽益力置业有限公司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91340100698974447G</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1.34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合肥中筑置业发展有限公司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91340100682073900D</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1.34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国购投资有限公司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913401005545806760</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1.34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潍坊虞清商厦置业发展有限公司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91370705590316477T</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1.33</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潍坊沃华房地产开发有限公司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913707026768232267</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1.33</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潍坊沃华物业管理有限公司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91370705059006650M</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1.33</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天津市陆港石油橡胶有限公司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91120116675956019M</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1.32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上海华信国际集团有限公司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913101157472980366</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1.13</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浙江语云控股有限公司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91330702MA28ELK17Q</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1.13</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国本建设有限公司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91330783757092365F</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1.10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东阳市国厦广场商贸有限公司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91330783795585793R</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1.10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红蜻蜓粮油工业荆门有限责任公司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91420822588249420L</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1.05</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淮北国购汽车产业园投资发展有限公司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91340600590153102D</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山东龙力生物科技股份有限公司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91371400729258057H</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乌兰察布市白乃庙铜业有限责任公司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91150929116903383G</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深圳冠欣矿业集团有限公司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91440300731135312G</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深圳市冠欣投资有限公司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914403007388342639</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郑州迅腾贸易有限公司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9141018468175451X5</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雏鹰农牧集团股份有限公司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914101007492377718</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科瑞天诚投资控股有限公司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91360106742602991X</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北京三九建业房地产开发有限公司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91110000600093140P</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莆田市炳坤家居有限公司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91350300784528830B</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1.00</w:t>
            </w:r>
          </w:p>
        </w:tc>
      </w:tr>
    </w:tbl>
    <w:p>
      <w:pPr>
        <w:tabs>
          <w:tab w:val="left" w:pos="5660"/>
        </w:tabs>
        <w:adjustRightInd w:val="0"/>
        <w:spacing w:line="588" w:lineRule="exact"/>
        <w:jc w:val="both"/>
        <w:rPr>
          <w:rFonts w:ascii="Times New Roman" w:hAnsi="Times New Roman" w:eastAsia="方正仿宋_GBK" w:cs="Times New Roman"/>
          <w:sz w:val="30"/>
          <w:szCs w:val="30"/>
        </w:rPr>
      </w:pPr>
    </w:p>
    <w:p>
      <w:pPr>
        <w:pStyle w:val="4"/>
        <w:keepNext w:val="0"/>
        <w:keepLines w:val="0"/>
        <w:pageBreakBefore w:val="0"/>
        <w:widowControl/>
        <w:kinsoku/>
        <w:wordWrap/>
        <w:overflowPunct/>
        <w:topLinePunct w:val="0"/>
        <w:autoSpaceDE/>
        <w:autoSpaceDN/>
        <w:bidi w:val="0"/>
        <w:adjustRightInd/>
        <w:snapToGrid/>
        <w:spacing w:beforeLines="0" w:line="300" w:lineRule="exact"/>
        <w:textAlignment w:val="auto"/>
        <w:outlineLvl w:val="1"/>
        <w:rPr>
          <w:rFonts w:ascii="Times New Roman" w:hAnsi="Times New Roman" w:eastAsia="方正仿宋_GBK" w:cs="Times New Roman"/>
          <w:sz w:val="30"/>
          <w:szCs w:val="30"/>
        </w:rPr>
      </w:pPr>
      <w:r>
        <w:rPr>
          <w:rFonts w:hint="eastAsia" w:ascii="Times New Roman" w:hAnsi="Times New Roman" w:eastAsia="方正仿宋_GBK" w:cs="Times New Roman"/>
          <w:b/>
          <w:sz w:val="30"/>
          <w:szCs w:val="30"/>
        </w:rPr>
        <w:t>附表5：新增偷税涉及税款三千万以上重大税收违法案件当事人企业名单（2019年</w:t>
      </w:r>
      <w:r>
        <w:rPr>
          <w:rFonts w:hint="eastAsia" w:ascii="Times New Roman" w:hAnsi="Times New Roman" w:eastAsia="方正仿宋_GBK" w:cs="Times New Roman"/>
          <w:b/>
          <w:sz w:val="30"/>
          <w:szCs w:val="30"/>
          <w:lang w:val="en-US" w:eastAsia="zh-CN"/>
        </w:rPr>
        <w:t>9</w:t>
      </w:r>
      <w:r>
        <w:rPr>
          <w:rFonts w:hint="eastAsia" w:ascii="Times New Roman" w:hAnsi="Times New Roman" w:eastAsia="方正仿宋_GBK" w:cs="Times New Roman"/>
          <w:b/>
          <w:sz w:val="30"/>
          <w:szCs w:val="30"/>
        </w:rPr>
        <w:t>月）</w:t>
      </w:r>
    </w:p>
    <w:tbl>
      <w:tblPr>
        <w:tblStyle w:val="2"/>
        <w:tblW w:w="8817" w:type="dxa"/>
        <w:jc w:val="center"/>
        <w:tblInd w:w="-235" w:type="dxa"/>
        <w:shd w:val="clear" w:color="auto" w:fill="auto"/>
        <w:tblLayout w:type="fixed"/>
        <w:tblCellMar>
          <w:top w:w="0" w:type="dxa"/>
          <w:left w:w="0" w:type="dxa"/>
          <w:bottom w:w="0" w:type="dxa"/>
          <w:right w:w="0" w:type="dxa"/>
        </w:tblCellMar>
      </w:tblPr>
      <w:tblGrid>
        <w:gridCol w:w="4133"/>
        <w:gridCol w:w="2634"/>
        <w:gridCol w:w="2050"/>
      </w:tblGrid>
      <w:tr>
        <w:tblPrEx>
          <w:tblLayout w:type="fixed"/>
          <w:tblCellMar>
            <w:top w:w="0" w:type="dxa"/>
            <w:left w:w="0" w:type="dxa"/>
            <w:bottom w:w="0" w:type="dxa"/>
            <w:right w:w="0" w:type="dxa"/>
          </w:tblCellMar>
        </w:tblPrEx>
        <w:trPr>
          <w:trHeight w:val="630" w:hRule="atLeast"/>
          <w:jc w:val="center"/>
        </w:trPr>
        <w:tc>
          <w:tcPr>
            <w:tcW w:w="4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adjustRightInd w:val="0"/>
              <w:snapToGrid w:val="0"/>
              <w:spacing w:line="300" w:lineRule="exact"/>
              <w:jc w:val="center"/>
              <w:textAlignment w:val="auto"/>
              <w:rPr>
                <w:rFonts w:hint="default" w:ascii="Times New Roman" w:hAnsi="Times New Roman" w:eastAsia="方正仿宋_GBK" w:cs="Times New Roman"/>
                <w:b/>
                <w:i w:val="0"/>
                <w:kern w:val="2"/>
                <w:sz w:val="24"/>
                <w:szCs w:val="24"/>
                <w:u w:val="none"/>
                <w:lang w:val="en-US" w:eastAsia="zh-CN" w:bidi="ar"/>
              </w:rPr>
            </w:pPr>
            <w:r>
              <w:rPr>
                <w:rFonts w:hint="eastAsia" w:ascii="Times New Roman" w:hAnsi="Times New Roman" w:eastAsia="方正仿宋_GBK" w:cs="Times New Roman"/>
                <w:b/>
                <w:i w:val="0"/>
                <w:kern w:val="2"/>
                <w:sz w:val="24"/>
                <w:szCs w:val="24"/>
                <w:u w:val="none"/>
                <w:lang w:val="en-US" w:eastAsia="zh-CN" w:bidi="ar"/>
              </w:rPr>
              <w:t>企业名称</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adjustRightInd w:val="0"/>
              <w:snapToGrid w:val="0"/>
              <w:spacing w:line="300" w:lineRule="exact"/>
              <w:jc w:val="center"/>
              <w:textAlignment w:val="auto"/>
              <w:rPr>
                <w:rFonts w:hint="default" w:ascii="Times New Roman" w:hAnsi="Times New Roman" w:eastAsia="方正仿宋_GBK" w:cs="Times New Roman"/>
                <w:b/>
                <w:i w:val="0"/>
                <w:kern w:val="2"/>
                <w:sz w:val="24"/>
                <w:szCs w:val="24"/>
                <w:u w:val="none"/>
                <w:lang w:val="en-US" w:eastAsia="zh-CN" w:bidi="ar"/>
              </w:rPr>
            </w:pPr>
            <w:r>
              <w:rPr>
                <w:rFonts w:hint="eastAsia" w:ascii="Times New Roman" w:hAnsi="Times New Roman" w:eastAsia="方正仿宋_GBK" w:cs="Times New Roman"/>
                <w:b/>
                <w:i w:val="0"/>
                <w:kern w:val="2"/>
                <w:sz w:val="24"/>
                <w:szCs w:val="24"/>
                <w:u w:val="none"/>
                <w:lang w:val="en-US" w:eastAsia="zh-CN" w:bidi="ar"/>
              </w:rPr>
              <w:t>统一社会信用代码</w:t>
            </w:r>
            <w:r>
              <w:rPr>
                <w:rFonts w:hint="default" w:ascii="Times New Roman" w:hAnsi="Times New Roman" w:eastAsia="方正仿宋_GBK" w:cs="Times New Roman"/>
                <w:b/>
                <w:i w:val="0"/>
                <w:kern w:val="2"/>
                <w:sz w:val="24"/>
                <w:szCs w:val="24"/>
                <w:u w:val="none"/>
                <w:lang w:val="en-US" w:eastAsia="zh-CN" w:bidi="ar"/>
              </w:rPr>
              <w:t>/</w:t>
            </w:r>
            <w:r>
              <w:rPr>
                <w:rFonts w:hint="default" w:ascii="Times New Roman" w:hAnsi="Times New Roman" w:eastAsia="方正仿宋_GBK" w:cs="Times New Roman"/>
                <w:b/>
                <w:i w:val="0"/>
                <w:kern w:val="2"/>
                <w:sz w:val="24"/>
                <w:szCs w:val="24"/>
                <w:u w:val="none"/>
                <w:lang w:val="en-US" w:eastAsia="zh-CN" w:bidi="ar"/>
              </w:rPr>
              <w:br w:type="textWrapping"/>
            </w:r>
            <w:r>
              <w:rPr>
                <w:rFonts w:hint="eastAsia" w:ascii="Times New Roman" w:hAnsi="Times New Roman" w:eastAsia="方正仿宋_GBK" w:cs="Times New Roman"/>
                <w:b/>
                <w:i w:val="0"/>
                <w:kern w:val="2"/>
                <w:sz w:val="24"/>
                <w:szCs w:val="24"/>
                <w:u w:val="none"/>
                <w:lang w:val="en-US" w:eastAsia="zh-CN" w:bidi="ar"/>
              </w:rPr>
              <w:t>工商注册号</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spacing w:line="300" w:lineRule="exact"/>
              <w:jc w:val="center"/>
              <w:textAlignment w:val="auto"/>
              <w:rPr>
                <w:rFonts w:hint="default" w:ascii="Times New Roman" w:hAnsi="Times New Roman" w:eastAsia="方正仿宋_GBK" w:cs="Times New Roman"/>
                <w:b/>
                <w:i w:val="0"/>
                <w:kern w:val="2"/>
                <w:sz w:val="24"/>
                <w:szCs w:val="24"/>
                <w:u w:val="none"/>
                <w:lang w:val="en-US" w:eastAsia="zh-CN" w:bidi="ar"/>
              </w:rPr>
            </w:pPr>
            <w:r>
              <w:rPr>
                <w:rFonts w:hint="eastAsia" w:ascii="Times New Roman" w:hAnsi="Times New Roman" w:eastAsia="方正仿宋_GBK" w:cs="Times New Roman"/>
                <w:b/>
                <w:i w:val="0"/>
                <w:kern w:val="2"/>
                <w:sz w:val="24"/>
                <w:szCs w:val="24"/>
                <w:u w:val="none"/>
                <w:lang w:val="en-US" w:eastAsia="zh-CN" w:bidi="ar"/>
              </w:rPr>
              <w:t>偷税金额（万元）</w:t>
            </w:r>
          </w:p>
        </w:tc>
      </w:tr>
      <w:tr>
        <w:tblPrEx>
          <w:tblLayout w:type="fixed"/>
          <w:tblCellMar>
            <w:top w:w="0" w:type="dxa"/>
            <w:left w:w="0" w:type="dxa"/>
            <w:bottom w:w="0" w:type="dxa"/>
            <w:right w:w="0" w:type="dxa"/>
          </w:tblCellMar>
        </w:tblPrEx>
        <w:trPr>
          <w:trHeight w:val="315" w:hRule="atLeast"/>
          <w:jc w:val="center"/>
        </w:trPr>
        <w:tc>
          <w:tcPr>
            <w:tcW w:w="4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kern w:val="2"/>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深圳市百纳威电子股份有限公司</w:t>
            </w:r>
          </w:p>
        </w:tc>
        <w:tc>
          <w:tcPr>
            <w:tcW w:w="2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91440300553860182B</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11,612.60</w:t>
            </w:r>
          </w:p>
        </w:tc>
      </w:tr>
    </w:tbl>
    <w:p>
      <w:pPr>
        <w:tabs>
          <w:tab w:val="left" w:pos="5660"/>
        </w:tabs>
        <w:adjustRightInd w:val="0"/>
        <w:spacing w:line="400" w:lineRule="exact"/>
        <w:jc w:val="both"/>
        <w:rPr>
          <w:rFonts w:ascii="Times New Roman" w:hAnsi="Times New Roman" w:eastAsia="方正仿宋_GBK" w:cs="Times New Roman"/>
          <w:sz w:val="30"/>
          <w:szCs w:val="30"/>
        </w:rPr>
      </w:pPr>
    </w:p>
    <w:p>
      <w:pPr>
        <w:tabs>
          <w:tab w:val="left" w:pos="5660"/>
        </w:tabs>
        <w:adjustRightInd w:val="0"/>
        <w:spacing w:line="400" w:lineRule="exact"/>
        <w:jc w:val="both"/>
        <w:rPr>
          <w:rFonts w:ascii="Times New Roman" w:hAnsi="Times New Roman" w:eastAsia="方正仿宋_GBK" w:cs="Times New Roman"/>
          <w:sz w:val="30"/>
          <w:szCs w:val="30"/>
        </w:rPr>
      </w:pPr>
    </w:p>
    <w:p>
      <w:pPr>
        <w:pStyle w:val="4"/>
        <w:keepNext w:val="0"/>
        <w:keepLines w:val="0"/>
        <w:pageBreakBefore w:val="0"/>
        <w:widowControl/>
        <w:kinsoku/>
        <w:wordWrap/>
        <w:overflowPunct/>
        <w:topLinePunct w:val="0"/>
        <w:autoSpaceDE/>
        <w:autoSpaceDN/>
        <w:bidi w:val="0"/>
        <w:adjustRightInd/>
        <w:snapToGrid/>
        <w:spacing w:beforeLines="0" w:line="300" w:lineRule="exact"/>
        <w:textAlignment w:val="auto"/>
        <w:outlineLvl w:val="1"/>
        <w:rPr>
          <w:rFonts w:hint="eastAsia" w:ascii="方正黑体_GBK" w:hAnsi="方正黑体_GBK" w:eastAsia="方正黑体_GBK" w:cs="方正黑体_GBK"/>
          <w:sz w:val="30"/>
          <w:szCs w:val="30"/>
          <w:lang w:val="en-US" w:eastAsia="zh-CN"/>
        </w:rPr>
      </w:pPr>
      <w:r>
        <w:rPr>
          <w:rFonts w:hint="eastAsia" w:ascii="Times New Roman" w:hAnsi="Times New Roman" w:eastAsia="方正仿宋_GBK" w:cs="Times New Roman"/>
          <w:b/>
          <w:sz w:val="30"/>
          <w:szCs w:val="30"/>
        </w:rPr>
        <w:t>附表</w:t>
      </w:r>
      <w:r>
        <w:rPr>
          <w:rFonts w:hint="eastAsia" w:ascii="Times New Roman" w:hAnsi="Times New Roman" w:eastAsia="方正仿宋_GBK" w:cs="Times New Roman"/>
          <w:b/>
          <w:sz w:val="30"/>
          <w:szCs w:val="30"/>
          <w:lang w:val="en-US" w:eastAsia="zh-CN"/>
        </w:rPr>
        <w:t>6</w:t>
      </w:r>
      <w:r>
        <w:rPr>
          <w:rFonts w:hint="eastAsia" w:ascii="Times New Roman" w:hAnsi="Times New Roman" w:eastAsia="方正仿宋_GBK" w:cs="Times New Roman"/>
          <w:b/>
          <w:sz w:val="30"/>
          <w:szCs w:val="30"/>
        </w:rPr>
        <w:t>：新增对外虚开增值税发票涉及税额三千万以上重大税收违法案件当事人企业名单（2019年</w:t>
      </w:r>
      <w:r>
        <w:rPr>
          <w:rFonts w:hint="eastAsia" w:ascii="Times New Roman" w:hAnsi="Times New Roman" w:eastAsia="方正仿宋_GBK" w:cs="Times New Roman"/>
          <w:b/>
          <w:sz w:val="30"/>
          <w:szCs w:val="30"/>
          <w:lang w:val="en-US" w:eastAsia="zh-CN"/>
        </w:rPr>
        <w:t>9</w:t>
      </w:r>
      <w:r>
        <w:rPr>
          <w:rFonts w:hint="eastAsia" w:ascii="Times New Roman" w:hAnsi="Times New Roman" w:eastAsia="方正仿宋_GBK" w:cs="Times New Roman"/>
          <w:b/>
          <w:sz w:val="30"/>
          <w:szCs w:val="30"/>
        </w:rPr>
        <w:t>月）</w:t>
      </w:r>
    </w:p>
    <w:tbl>
      <w:tblPr>
        <w:tblStyle w:val="2"/>
        <w:tblW w:w="8673" w:type="dxa"/>
        <w:jc w:val="center"/>
        <w:tblInd w:w="-337" w:type="dxa"/>
        <w:shd w:val="clear" w:color="auto" w:fill="auto"/>
        <w:tblLayout w:type="fixed"/>
        <w:tblCellMar>
          <w:top w:w="0" w:type="dxa"/>
          <w:left w:w="0" w:type="dxa"/>
          <w:bottom w:w="0" w:type="dxa"/>
          <w:right w:w="0" w:type="dxa"/>
        </w:tblCellMar>
      </w:tblPr>
      <w:tblGrid>
        <w:gridCol w:w="3799"/>
        <w:gridCol w:w="2640"/>
        <w:gridCol w:w="2234"/>
      </w:tblGrid>
      <w:tr>
        <w:tblPrEx>
          <w:shd w:val="clear" w:color="auto" w:fill="auto"/>
          <w:tblLayout w:type="fixed"/>
          <w:tblCellMar>
            <w:top w:w="0" w:type="dxa"/>
            <w:left w:w="0" w:type="dxa"/>
            <w:bottom w:w="0" w:type="dxa"/>
            <w:right w:w="0" w:type="dxa"/>
          </w:tblCellMar>
        </w:tblPrEx>
        <w:trPr>
          <w:trHeight w:val="850"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spacing w:line="300" w:lineRule="exact"/>
              <w:jc w:val="center"/>
              <w:textAlignment w:val="auto"/>
              <w:rPr>
                <w:rFonts w:hint="eastAsia" w:ascii="Times New Roman" w:hAnsi="Times New Roman" w:eastAsia="方正仿宋_GBK" w:cs="Times New Roman"/>
                <w:b/>
                <w:i w:val="0"/>
                <w:sz w:val="24"/>
                <w:szCs w:val="24"/>
                <w:u w:val="none"/>
                <w:lang w:bidi="ar"/>
              </w:rPr>
            </w:pPr>
            <w:r>
              <w:rPr>
                <w:rFonts w:hint="eastAsia" w:ascii="Times New Roman" w:hAnsi="Times New Roman" w:eastAsia="方正仿宋_GBK" w:cs="Times New Roman"/>
                <w:b/>
                <w:i w:val="0"/>
                <w:kern w:val="2"/>
                <w:sz w:val="24"/>
                <w:szCs w:val="24"/>
                <w:u w:val="none"/>
                <w:lang w:val="en-US" w:eastAsia="zh-CN" w:bidi="ar"/>
              </w:rPr>
              <w:t>企业名称</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adjustRightInd w:val="0"/>
              <w:snapToGrid w:val="0"/>
              <w:spacing w:line="300" w:lineRule="exact"/>
              <w:jc w:val="center"/>
              <w:textAlignment w:val="auto"/>
              <w:rPr>
                <w:rFonts w:hint="eastAsia" w:ascii="Times New Roman" w:hAnsi="Times New Roman" w:eastAsia="方正仿宋_GBK" w:cs="Times New Roman"/>
                <w:b/>
                <w:i w:val="0"/>
                <w:sz w:val="24"/>
                <w:szCs w:val="24"/>
                <w:u w:val="none"/>
                <w:lang w:bidi="ar"/>
              </w:rPr>
            </w:pPr>
            <w:r>
              <w:rPr>
                <w:rFonts w:hint="eastAsia" w:ascii="Times New Roman" w:hAnsi="Times New Roman" w:eastAsia="方正仿宋_GBK" w:cs="Times New Roman"/>
                <w:b/>
                <w:i w:val="0"/>
                <w:kern w:val="2"/>
                <w:sz w:val="24"/>
                <w:szCs w:val="24"/>
                <w:u w:val="none"/>
                <w:lang w:val="en-US" w:eastAsia="zh-CN" w:bidi="ar"/>
              </w:rPr>
              <w:t>统一社会信用代码/</w:t>
            </w:r>
            <w:r>
              <w:rPr>
                <w:rFonts w:hint="eastAsia" w:ascii="Times New Roman" w:hAnsi="Times New Roman" w:eastAsia="方正仿宋_GBK" w:cs="Times New Roman"/>
                <w:b/>
                <w:i w:val="0"/>
                <w:kern w:val="2"/>
                <w:sz w:val="24"/>
                <w:szCs w:val="24"/>
                <w:u w:val="none"/>
                <w:lang w:val="en-US" w:eastAsia="zh-CN" w:bidi="ar"/>
              </w:rPr>
              <w:br w:type="textWrapping"/>
            </w:r>
            <w:r>
              <w:rPr>
                <w:rFonts w:hint="eastAsia" w:ascii="Times New Roman" w:hAnsi="Times New Roman" w:eastAsia="方正仿宋_GBK" w:cs="Times New Roman"/>
                <w:b/>
                <w:i w:val="0"/>
                <w:kern w:val="2"/>
                <w:sz w:val="24"/>
                <w:szCs w:val="24"/>
                <w:u w:val="none"/>
                <w:lang w:val="en-US" w:eastAsia="zh-CN" w:bidi="ar"/>
              </w:rPr>
              <w:t>工商注册号</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adjustRightInd w:val="0"/>
              <w:snapToGrid w:val="0"/>
              <w:spacing w:line="300" w:lineRule="exact"/>
              <w:jc w:val="center"/>
              <w:textAlignment w:val="auto"/>
              <w:rPr>
                <w:rFonts w:hint="eastAsia" w:ascii="Times New Roman" w:hAnsi="Times New Roman" w:eastAsia="方正仿宋_GBK" w:cs="Times New Roman"/>
                <w:b/>
                <w:i w:val="0"/>
                <w:sz w:val="24"/>
                <w:szCs w:val="24"/>
                <w:u w:val="none"/>
                <w:lang w:bidi="ar"/>
              </w:rPr>
            </w:pPr>
            <w:r>
              <w:rPr>
                <w:rFonts w:hint="eastAsia" w:ascii="Times New Roman" w:hAnsi="Times New Roman" w:eastAsia="方正仿宋_GBK" w:cs="Times New Roman"/>
                <w:b/>
                <w:i w:val="0"/>
                <w:kern w:val="2"/>
                <w:sz w:val="24"/>
                <w:szCs w:val="24"/>
                <w:u w:val="none"/>
                <w:lang w:val="en-US" w:eastAsia="zh-CN" w:bidi="ar"/>
              </w:rPr>
              <w:t>对外虚开增值税发票</w:t>
            </w:r>
            <w:r>
              <w:rPr>
                <w:rFonts w:hint="eastAsia" w:ascii="Times New Roman" w:hAnsi="Times New Roman" w:eastAsia="方正仿宋_GBK" w:cs="Times New Roman"/>
                <w:b/>
                <w:i w:val="0"/>
                <w:kern w:val="2"/>
                <w:sz w:val="24"/>
                <w:szCs w:val="24"/>
                <w:u w:val="none"/>
                <w:lang w:val="en-US" w:eastAsia="zh-CN" w:bidi="ar"/>
              </w:rPr>
              <w:br w:type="textWrapping"/>
            </w:r>
            <w:r>
              <w:rPr>
                <w:rFonts w:hint="eastAsia" w:ascii="Times New Roman" w:hAnsi="Times New Roman" w:eastAsia="方正仿宋_GBK" w:cs="Times New Roman"/>
                <w:b/>
                <w:i w:val="0"/>
                <w:kern w:val="2"/>
                <w:sz w:val="24"/>
                <w:szCs w:val="24"/>
                <w:u w:val="none"/>
                <w:lang w:val="en-US" w:eastAsia="zh-CN" w:bidi="ar"/>
              </w:rPr>
              <w:t>涉及税额（万元）</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南京环源石油化工有限公司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91320193MA1MHK1TXJ</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20,559.03</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上海一芥实业有限公司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91310115320791112T</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15,154.60</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上海翊毓电子商务有限公司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91310109323140518K</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14,397.22</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上海正觅龙商贸有限公司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91310105MA1FWB1Y19</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14,343.46</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尔岚国际贸易（上海）有限公司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9131000008800585XE</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13,803.49</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江苏亿安汇贸易有限公司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321322000422739</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12,570.34</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上海跃豪金属材料有限公司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91310115555922316L</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11,882.58</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上海盛津石油化工有限公司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9131011539873189X0</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11,824.97</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上海褓樨贸易有限公司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91310113MA1GLT2H9X</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10,941.42</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上海覃檀贸易有限公司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91310230MA1K0XP65Q</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9,220.72</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江阴昌益铜业发展有限公司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91320281MA1NX7NW79</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8,397.49</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上海欣嘉物资有限公司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913101156311441741</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6,874.99</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上海诅衡实业有限公司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91310115676289078L</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6,728.38</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上海庚翀实业有限公司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91310230MA1K05P85D</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6,494.90</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上海绅昂渥贸易有限公司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91310110MA1G8NDF5Q</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6,158.03</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上海亓吉实业有限公司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91310230MA1K05P345</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5,261.72</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上海砼吉国际贸易有限公司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91310115MA1K3FDQX3</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5,048.63</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上海枢笃实业有限公司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91310230MA1K05P26A</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4,844.07</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上海皇垚贸易有限公司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91310115MA1K3EPX00</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4,171.51</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奥磐国际贸易（上海）有限公司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91310115320757838K</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4,161.89</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上海啟辕实业有限公司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310110000555854</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4,030.76</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上海钧越进出口贸易有限公司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91310115MA1H7FMF6R</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3,979.31</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上海浩谨金属材料有限公司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310141000095234</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3,917.27</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上海溶智国际贸易有限公司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91310115090022405F</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3,727.09</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广西贵港市美鸥船务有限公司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9145080066212247XH</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3,509.20</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沈阳鸿易盛化工产品有限公司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91210113MA0P4N1K47</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3,271.58</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公美贵（上海）实业有限公司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310141000096317</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3,106.29</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375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表标题"/>
    <w:basedOn w:val="1"/>
    <w:qFormat/>
    <w:uiPriority w:val="0"/>
    <w:pPr>
      <w:widowControl/>
      <w:spacing w:beforeLines="50"/>
      <w:jc w:val="center"/>
      <w:outlineLvl w:val="3"/>
    </w:pPr>
    <w:rPr>
      <w:rFonts w:ascii="黑体" w:eastAsia="黑体"/>
      <w:bCs/>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Lyn</cp:lastModifiedBy>
  <dcterms:modified xsi:type="dcterms:W3CDTF">2019-10-11T03:36:58Z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