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hAnsi="宋体" w:eastAsia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/>
          <w:b/>
          <w:sz w:val="32"/>
          <w:szCs w:val="32"/>
        </w:rPr>
        <w:t>附件2</w:t>
      </w:r>
      <w:bookmarkEnd w:id="0"/>
      <w:r>
        <w:rPr>
          <w:rFonts w:hint="eastAsia" w:ascii="宋体" w:hAnsi="宋体" w:eastAsia="宋体"/>
          <w:b/>
          <w:sz w:val="32"/>
          <w:szCs w:val="32"/>
        </w:rPr>
        <w:t>：</w:t>
      </w:r>
    </w:p>
    <w:p>
      <w:pPr>
        <w:spacing w:line="400" w:lineRule="exact"/>
        <w:jc w:val="center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会计师事务所综合评价办法</w:t>
      </w:r>
    </w:p>
    <w:p>
      <w:pPr>
        <w:spacing w:line="360" w:lineRule="auto"/>
        <w:ind w:firstLine="2800" w:firstLineChars="10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会协</w:t>
      </w:r>
      <w:r>
        <w:rPr>
          <w:rFonts w:hint="eastAsia" w:ascii="仿宋_GB2312" w:hAnsi="宋体" w:eastAsia="仿宋_GB2312"/>
          <w:sz w:val="28"/>
          <w:szCs w:val="28"/>
        </w:rPr>
        <w:t>〔2015〕42</w:t>
      </w:r>
      <w:r>
        <w:rPr>
          <w:rFonts w:hint="eastAsia" w:ascii="仿宋_GB2312" w:eastAsia="仿宋_GB2312"/>
          <w:sz w:val="28"/>
          <w:szCs w:val="28"/>
        </w:rPr>
        <w:t>号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/>
        </w:rPr>
        <w:t xml:space="preserve">                </w:t>
      </w:r>
      <w:r>
        <w:rPr>
          <w:rFonts w:hint="eastAsia" w:ascii="宋体" w:hAnsi="宋体" w:eastAsia="宋体"/>
          <w:sz w:val="28"/>
          <w:szCs w:val="28"/>
        </w:rPr>
        <w:t>（2014年5月发布，2015年6月修订）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第一条  为综合反映与科学评价会计师事务所（以下简称事务所）发展水平，引导事务所做强做大、做精做专，不断提升服务国家建设、服务市场主体、服务公众利益的能力，制定本办法。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第二条  中国注册会计师协会（以下简称中注协）以注册会计师行业管理信息系统为基础，组织开展事务所综合评价工作，并公布事务所综合评价前百家排名信息。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第三条  事务所综合评价每年进行一次。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第四条  经批准设立的事务所，除具有下列情形之一者之外，均参加综合评价：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（一）未持续达到规定的设立条件；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（二）未履行会员义务；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（三）未按时填列综合评价信息；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（四）上年度填列综合评价信息严重失实。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第五条  涉及合并、分立事项的事务所，于上年度12月31日前办结以下所有手续的，可以合并、分立后的事务所参加综合评价：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（一）签订合并、分立协议，形成合并、分立相关会议决议及合伙人（股东）协议；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（二）完成主管部门批准变更相关执业证书、变更登记手续和工商管理部门批准变更登记手续；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（三）完成合伙人（股东）退伙（退股）、注册会计师转所手续。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第六条  参加综合评价的事务所，按照要求填写综合评价表，上报所在地的省、自治区、直辖市注册会计师协会（以下简称地方注协）审核。事务所跨省级行政区设立的分所，上报分所所在地地方注协审核。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第七条  为保证综合评价工作的公平、公正，综合评价表指标将上年度12月31日作为基准日。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第八条  事务所应当及时更新行业管理信息系统中与综合评价相关的信息，并对填报信息的真实性负责。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第九条  地方注协负责审核本地区事务所和本地区分所填列的信息。可以结合注册会计师任职资格检查工作，对本地区事务所、分所填列信息组织审查，将审查结果上报中注协。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第十条  中注协对事务所填列信息进行抽查。如果发现填列信息不实的，责令事务所限期更正。如发现填列信息严重失实或故意填列不实信息的，取消事务所当年度综合评价资格，并通报批评。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第十一条  中注协根据综合评价结果，按照本办法的规定，计算并确认事务所的综合评价得分，公布事务所综合评价得分前百家排名信息。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对于在公布前终止的事务所的信息，不予公布。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第十二条  事务所综合评价前百家排名所依据指标包括业务收入指标、综合评价其他指标、处罚和惩戒指标三大类。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（一）业务收入指标是指，事务所每年上报中注协的、经过审计的上一年度事务所本身业务收入，以及与事务所统一经营的其他执业机构业务收入。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（二）综合评价其他指标是指，综合评价表中除了业务收入指标、处罚和惩戒指标以外的指标。包括：基本情况、内部治理、执业质量、人力资源、国际业务、信息技术、党群共建、社会责任、受奖励情况等。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（三）处罚和惩戒指标是指，最近两个年度内，事务所及其注册会计师在执业中受到刑事处罚、行政处罚和行业惩戒。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第十三条  前百家事务所排名得分=业务收入指标得分 +综合评价其他指标得分–处罚和惩戒指标应减分值。其中：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（一）业务收入指标得分=[前百家候选事务所业务收入中位数+前百家候选事务所业务收入中位数×（该事务所业务收入的自然对数-前百家候选事务所业务收入中位数的自然对数）]/修正系数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（1）事务所业务收入=该事务所本身业务收入+与该事务所统一经营的其他执业机构业务收入×5%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（2）修正系数=前百家候选事务所中业务收入最高者的业务收入得分（修正前）/1000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（二）业务收入指标得分和综合评价其他指标得分，满分均为1000分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（三）处罚和惩戒指标应减分值=Σ[刑事处罚、行政处罚和行业惩戒的次数（人数）×相关分值]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处罚和惩戒指标为直接减分项，按照处罚和惩戒不同种类减分：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事务所受到暂停业务处罚，及与其他处罚并处的，一次减8分；单处警告、没收违法所得、罚款，及以上三项或者两项处罚并处的，一次减6分；受到公开谴责的，一次减6分；受到通报批评的，一次减4分；受到训诫的，一次减2分。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注册会计师受到吊销注册会计师证书、撤销会员资格的，减5分；受到其他行政处罚和行业惩戒的应减分值，分别按照事务所受到相应行政处罚和行业惩戒应减分值的50%计算；因执业行为受到刑事处罚的，一次减8分。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事务所或注册会计师受到处罚和惩戒，处罚、惩戒决定时间不在上一年度内，且违规行为发生超过3年的，在综合评价中不再扣分。</w:t>
      </w:r>
    </w:p>
    <w:p>
      <w:pPr>
        <w:spacing w:before="0" w:beforeAutospacing="0" w:after="0" w:afterAutospacing="0"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第十四条  地方注协可以本办法为参照，根据自身实际情况，制定本地区的综合评价办法。</w:t>
      </w:r>
    </w:p>
    <w:p>
      <w:pPr>
        <w:spacing w:before="0" w:beforeAutospacing="0" w:after="0" w:afterAutospacing="0"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tLeas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3"/>
    <w:semiHidden/>
    <w:unhideWhenUsed/>
    <w:uiPriority w:val="99"/>
    <w:pPr>
      <w:spacing w:before="0" w:after="0"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No Spacing"/>
    <w:basedOn w:val="1"/>
    <w:qFormat/>
    <w:uiPriority w:val="1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customStyle="1" w:styleId="7">
    <w:name w:val="页眉 Char Char"/>
    <w:basedOn w:val="5"/>
    <w:link w:val="4"/>
    <w:uiPriority w:val="99"/>
    <w:rPr>
      <w:sz w:val="18"/>
      <w:szCs w:val="18"/>
    </w:rPr>
  </w:style>
  <w:style w:type="character" w:customStyle="1" w:styleId="8">
    <w:name w:val="页脚 Char Char"/>
    <w:basedOn w:val="5"/>
    <w:link w:val="3"/>
    <w:uiPriority w:val="99"/>
    <w:rPr>
      <w:sz w:val="18"/>
      <w:szCs w:val="18"/>
    </w:rPr>
  </w:style>
  <w:style w:type="character" w:customStyle="1" w:styleId="9">
    <w:name w:val="emtidy-12"/>
    <w:basedOn w:val="5"/>
    <w:uiPriority w:val="0"/>
    <w:rPr/>
  </w:style>
  <w:style w:type="character" w:customStyle="1" w:styleId="10">
    <w:name w:val="emtidy-14"/>
    <w:basedOn w:val="5"/>
    <w:uiPriority w:val="0"/>
    <w:rPr/>
  </w:style>
  <w:style w:type="character" w:customStyle="1" w:styleId="11">
    <w:name w:val="emtidy-20"/>
    <w:basedOn w:val="5"/>
    <w:uiPriority w:val="0"/>
    <w:rPr/>
  </w:style>
  <w:style w:type="character" w:customStyle="1" w:styleId="12">
    <w:name w:val="Subtle Reference"/>
    <w:qFormat/>
    <w:uiPriority w:val="31"/>
    <w:rPr>
      <w:smallCaps/>
      <w:color w:val="C0504D"/>
      <w:u w:val="single"/>
    </w:rPr>
  </w:style>
  <w:style w:type="character" w:customStyle="1" w:styleId="13">
    <w:name w:val="批注框文本 Char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1598</Characters>
  <Lines>13</Lines>
  <Paragraphs>3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2016-09-08T01:24:00Z</dcterms:created>
  <dc:creator>Zeng TB</dc:creator>
  <cp:lastModifiedBy>goveditor</cp:lastModifiedBy>
  <cp:lastPrinted>2016-10-21T04:09:00Z</cp:lastPrinted>
  <dcterms:modified xsi:type="dcterms:W3CDTF">2016-10-25T01:55:30Z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