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spacing w:line="5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</w:p>
    <w:p>
      <w:pPr>
        <w:widowControl/>
        <w:adjustRightInd w:val="0"/>
        <w:snapToGrid w:val="0"/>
        <w:spacing w:line="540" w:lineRule="exact"/>
        <w:jc w:val="center"/>
        <w:rPr>
          <w:rFonts w:cs="仿宋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kern w:val="0"/>
          <w:sz w:val="32"/>
          <w:szCs w:val="32"/>
        </w:rPr>
        <w:t>立项报送函的具体要求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仿宋"/>
          <w:kern w:val="0"/>
          <w:sz w:val="30"/>
          <w:szCs w:val="30"/>
        </w:rPr>
        <w:t>一、总体情况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1.计量技术规范申报项目总数及行业分布等情况；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2.计量技术规范申报项目领域划分及分布等情况（需按行业、分领域对计量技术规范项目进行划分）；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3.申报的重点领域和项目情况；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4.申报项目与产业发展结合的总体情况；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5.申报项目的技术水平的总体情况；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6.申报项目的编制原则和发展重点。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二、项目提出过程及审查情况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1.计量技术规范项目提出的主要过程；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2.对计量技术规范申报项目的审查情况。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三、按行业、分领域阐述计量技术规范申报项目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（一）领域1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1.对产业发展的作用；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2.解决的主要问题；</w:t>
      </w:r>
    </w:p>
    <w:p>
      <w:pPr>
        <w:widowControl/>
        <w:adjustRightInd w:val="0"/>
        <w:snapToGrid w:val="0"/>
        <w:spacing w:line="540" w:lineRule="exact"/>
        <w:ind w:left="72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3.涉及专利情况；</w:t>
      </w:r>
    </w:p>
    <w:p>
      <w:pPr>
        <w:widowControl/>
        <w:adjustRightInd w:val="0"/>
        <w:snapToGrid w:val="0"/>
        <w:spacing w:line="540" w:lineRule="exact"/>
        <w:ind w:left="72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4.其他需要说明的情况。</w:t>
      </w:r>
    </w:p>
    <w:p>
      <w:pPr>
        <w:widowControl/>
        <w:adjustRightInd w:val="0"/>
        <w:snapToGrid w:val="0"/>
        <w:spacing w:line="540" w:lineRule="exact"/>
        <w:ind w:firstLine="58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（二）领域2（要求同上）</w:t>
      </w:r>
    </w:p>
    <w:p>
      <w:pPr>
        <w:widowControl/>
        <w:adjustRightInd w:val="0"/>
        <w:snapToGrid w:val="0"/>
        <w:spacing w:line="540" w:lineRule="exact"/>
        <w:ind w:firstLine="585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585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585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585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仿宋_GB2312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C1F"/>
    <w:rsid w:val="000648FE"/>
    <w:rsid w:val="00081307"/>
    <w:rsid w:val="000E396F"/>
    <w:rsid w:val="000F6765"/>
    <w:rsid w:val="0013737E"/>
    <w:rsid w:val="002A467E"/>
    <w:rsid w:val="002F025C"/>
    <w:rsid w:val="003D3CCA"/>
    <w:rsid w:val="004652CB"/>
    <w:rsid w:val="004654CD"/>
    <w:rsid w:val="004A2549"/>
    <w:rsid w:val="006C10AF"/>
    <w:rsid w:val="006C7C3D"/>
    <w:rsid w:val="00855C1F"/>
    <w:rsid w:val="008E59C7"/>
    <w:rsid w:val="009E71D4"/>
    <w:rsid w:val="009F1F18"/>
    <w:rsid w:val="00C5658D"/>
    <w:rsid w:val="00D52DB4"/>
    <w:rsid w:val="00E85019"/>
    <w:rsid w:val="00FE57F3"/>
    <w:rsid w:val="29DC0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2016-05-19T08:28:00Z</dcterms:created>
  <dc:creator>jl</dc:creator>
  <cp:lastModifiedBy>李建国(拟稿人确认打印)</cp:lastModifiedBy>
  <dcterms:modified xsi:type="dcterms:W3CDTF">2016-07-19T09:33:19Z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