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787" w:rsidRDefault="004D6D8C">
      <w:pPr>
        <w:rPr>
          <w:rFonts w:ascii="黑体" w:eastAsia="黑体" w:hAnsi="黑体"/>
          <w:sz w:val="32"/>
          <w:szCs w:val="32"/>
        </w:rPr>
      </w:pPr>
      <w:r>
        <w:rPr>
          <w:rFonts w:ascii="黑体" w:eastAsia="黑体" w:hAnsi="黑体" w:hint="eastAsia"/>
          <w:sz w:val="32"/>
          <w:szCs w:val="32"/>
        </w:rPr>
        <w:t>附件</w:t>
      </w:r>
      <w:r w:rsidR="000960A5">
        <w:rPr>
          <w:rFonts w:ascii="黑体" w:eastAsia="黑体" w:hAnsi="黑体" w:hint="eastAsia"/>
          <w:sz w:val="32"/>
          <w:szCs w:val="32"/>
        </w:rPr>
        <w:t>2</w:t>
      </w:r>
    </w:p>
    <w:p w:rsidR="002A6787" w:rsidRDefault="002A6787" w:rsidP="00CD5518">
      <w:pPr>
        <w:spacing w:line="560" w:lineRule="exact"/>
        <w:jc w:val="center"/>
        <w:rPr>
          <w:rFonts w:ascii="黑体" w:eastAsia="黑体" w:hAnsi="黑体"/>
          <w:sz w:val="32"/>
          <w:szCs w:val="32"/>
        </w:rPr>
      </w:pPr>
    </w:p>
    <w:p w:rsidR="002A6787" w:rsidRDefault="000960A5" w:rsidP="00CD5518">
      <w:pPr>
        <w:spacing w:line="560" w:lineRule="exact"/>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Pr>
          <w:rFonts w:ascii="方正小标宋简体" w:eastAsia="方正小标宋简体" w:hint="eastAsia"/>
          <w:spacing w:val="-12"/>
          <w:sz w:val="44"/>
          <w:szCs w:val="44"/>
        </w:rPr>
        <w:t>小知识</w:t>
      </w:r>
    </w:p>
    <w:p w:rsidR="00CA4F2E" w:rsidRDefault="00CA4F2E" w:rsidP="00CD5518">
      <w:pPr>
        <w:spacing w:line="560" w:lineRule="exact"/>
        <w:jc w:val="center"/>
        <w:rPr>
          <w:rFonts w:ascii="方正小标宋简体" w:eastAsia="方正小标宋简体"/>
          <w:spacing w:val="-12"/>
          <w:sz w:val="44"/>
          <w:szCs w:val="44"/>
        </w:rPr>
      </w:pPr>
    </w:p>
    <w:p w:rsidR="007C3794" w:rsidRPr="007505B0" w:rsidRDefault="00DA4CB6" w:rsidP="007C3794">
      <w:pPr>
        <w:spacing w:line="600" w:lineRule="exact"/>
        <w:ind w:firstLineChars="200" w:firstLine="592"/>
        <w:rPr>
          <w:rFonts w:ascii="仿宋_GB2312" w:eastAsia="仿宋_GB2312"/>
          <w:sz w:val="32"/>
          <w:szCs w:val="32"/>
        </w:rPr>
      </w:pPr>
      <w:r w:rsidRPr="00C24969">
        <w:rPr>
          <w:rFonts w:ascii="黑体" w:eastAsia="黑体" w:hAnsi="黑体" w:hint="eastAsia"/>
          <w:spacing w:val="-12"/>
          <w:sz w:val="32"/>
          <w:szCs w:val="32"/>
        </w:rPr>
        <w:t>一、</w:t>
      </w:r>
      <w:r w:rsidR="007C3794">
        <w:rPr>
          <w:rFonts w:ascii="黑体" w:eastAsia="黑体" w:hAnsi="黑体" w:hint="eastAsia"/>
          <w:sz w:val="32"/>
          <w:szCs w:val="32"/>
        </w:rPr>
        <w:t>乙二胺四乙酸二钠</w:t>
      </w:r>
    </w:p>
    <w:p w:rsidR="00DA4CB6" w:rsidRPr="007C3794" w:rsidRDefault="007C3794" w:rsidP="007C3794">
      <w:pPr>
        <w:spacing w:line="600" w:lineRule="exact"/>
        <w:ind w:firstLineChars="200" w:firstLine="640"/>
        <w:rPr>
          <w:rFonts w:ascii="仿宋_GB2312" w:eastAsia="仿宋_GB2312" w:hAnsi="Times New Roman" w:cs="Times New Roman"/>
          <w:sz w:val="32"/>
          <w:szCs w:val="32"/>
        </w:rPr>
      </w:pPr>
      <w:r w:rsidRPr="007C3794">
        <w:rPr>
          <w:rFonts w:ascii="仿宋_GB2312" w:eastAsia="仿宋_GB2312" w:hint="eastAsia"/>
          <w:color w:val="000000" w:themeColor="text1"/>
          <w:sz w:val="32"/>
          <w:szCs w:val="32"/>
        </w:rPr>
        <w:t>乙二胺四乙酸二钠作为食品添加剂广泛用作稳定剂、抗氧化剂、防腐剂、螯合剂，防止金属离子引起的变色、变质、变浊及维生素的氧化损失。《食品安全国家标准  食品添加剂使用标准》（GB 2760—2014）中允许蜜饯凉果中的果脯类（仅限地瓜果脯）使用乙二胺四乙酸二钠（最大使用量为0.25g/kg），其他类别的蜜饯凉果类不得使用。乙二胺四乙酸二钠可对粘膜、上呼吸道、眼睛、皮肤产生刺激作用。长期大量食用乙二胺四乙酸二钠超标食品可能对人体健康产生一定影响。</w:t>
      </w:r>
    </w:p>
    <w:p w:rsidR="007C3794" w:rsidRDefault="00DA4CB6" w:rsidP="007C3794">
      <w:pPr>
        <w:ind w:firstLineChars="200" w:firstLine="640"/>
        <w:rPr>
          <w:rFonts w:ascii="黑体" w:eastAsia="黑体" w:hAnsi="黑体"/>
          <w:kern w:val="0"/>
          <w:sz w:val="32"/>
          <w:szCs w:val="32"/>
        </w:rPr>
      </w:pPr>
      <w:r w:rsidRPr="00D762A4">
        <w:rPr>
          <w:rFonts w:ascii="黑体" w:eastAsia="黑体" w:hAnsi="黑体" w:cs="Times New Roman" w:hint="eastAsia"/>
          <w:sz w:val="32"/>
          <w:szCs w:val="32"/>
        </w:rPr>
        <w:t>二、</w:t>
      </w:r>
      <w:r w:rsidR="007C3794">
        <w:rPr>
          <w:rFonts w:ascii="黑体" w:eastAsia="黑体" w:hAnsi="黑体" w:hint="eastAsia"/>
          <w:kern w:val="0"/>
          <w:sz w:val="32"/>
          <w:szCs w:val="32"/>
        </w:rPr>
        <w:t>二氧化硫残留量</w:t>
      </w:r>
    </w:p>
    <w:p w:rsidR="00DA4CB6" w:rsidRDefault="007C3794" w:rsidP="007C3794">
      <w:pPr>
        <w:ind w:firstLineChars="200" w:firstLine="640"/>
        <w:rPr>
          <w:rFonts w:ascii="仿宋_GB2312" w:eastAsia="仿宋_GB2312"/>
          <w:sz w:val="32"/>
          <w:szCs w:val="32"/>
        </w:rPr>
      </w:pPr>
      <w:r>
        <w:rPr>
          <w:rFonts w:ascii="仿宋_GB2312" w:eastAsia="仿宋_GB2312" w:hAnsi="宋体" w:hint="eastAsia"/>
          <w:kern w:val="0"/>
          <w:sz w:val="32"/>
          <w:szCs w:val="32"/>
        </w:rPr>
        <w:t>二氧化硫、焦亚硫酸钾、亚硫酸钠是食品加工中常用的漂白剂和防腐剂，使用后产生二氧化硫残留。</w:t>
      </w:r>
      <w:r>
        <w:rPr>
          <w:rFonts w:ascii="仿宋_GB2312" w:eastAsia="仿宋_GB2312" w:hint="eastAsia"/>
          <w:sz w:val="32"/>
          <w:szCs w:val="32"/>
        </w:rPr>
        <w:t>《食品安全国家标准 食品添加剂使用标准》（GB 2760</w:t>
      </w:r>
      <w:r>
        <w:rPr>
          <w:rFonts w:ascii="仿宋_GB2312" w:eastAsia="仿宋_GB2312" w:hAnsi="微软雅黑" w:hint="eastAsia"/>
          <w:color w:val="000000"/>
          <w:sz w:val="32"/>
          <w:szCs w:val="32"/>
        </w:rPr>
        <w:t>—2</w:t>
      </w:r>
      <w:r>
        <w:rPr>
          <w:rFonts w:ascii="仿宋_GB2312" w:eastAsia="仿宋_GB2312" w:hint="eastAsia"/>
          <w:sz w:val="32"/>
          <w:szCs w:val="32"/>
        </w:rPr>
        <w:t>014）中规定蜜饯凉果类</w:t>
      </w:r>
      <w:r>
        <w:rPr>
          <w:rFonts w:ascii="仿宋_GB2312" w:eastAsia="仿宋_GB2312" w:hAnsi="宋体" w:hint="eastAsia"/>
          <w:kern w:val="0"/>
          <w:sz w:val="32"/>
          <w:szCs w:val="32"/>
        </w:rPr>
        <w:t>二氧化硫残留量不得超过0.35</w:t>
      </w:r>
      <w:r>
        <w:rPr>
          <w:rFonts w:ascii="仿宋_GB2312" w:eastAsia="仿宋_GB2312" w:hAnsi="宋体" w:cs="仿宋_GB2312" w:hint="eastAsia"/>
          <w:kern w:val="0"/>
          <w:sz w:val="32"/>
          <w:szCs w:val="32"/>
        </w:rPr>
        <w:t>g/kg</w:t>
      </w:r>
      <w:r>
        <w:rPr>
          <w:rFonts w:ascii="仿宋_GB2312" w:eastAsia="仿宋_GB2312" w:hint="eastAsia"/>
          <w:sz w:val="32"/>
          <w:szCs w:val="32"/>
        </w:rPr>
        <w:t>。</w:t>
      </w:r>
      <w:r>
        <w:rPr>
          <w:rFonts w:ascii="仿宋_GB2312" w:eastAsia="仿宋_GB2312" w:hAnsi="Times New Roman" w:cs="Times New Roman" w:hint="eastAsia"/>
          <w:sz w:val="32"/>
          <w:szCs w:val="32"/>
        </w:rPr>
        <w:t>二氧化硫进入人体后最终转化为硫酸盐并随尿液排出体外，少量二氧化硫进入人体不会对身体带来健康危害，但若过量食用可能引起如恶心、呕吐等胃肠道反应。</w:t>
      </w:r>
    </w:p>
    <w:p w:rsidR="007C3794" w:rsidRPr="00307BB7" w:rsidRDefault="00DA4CB6" w:rsidP="007C3794">
      <w:pPr>
        <w:spacing w:line="360" w:lineRule="auto"/>
        <w:ind w:firstLineChars="200" w:firstLine="592"/>
        <w:rPr>
          <w:rFonts w:ascii="黑体" w:eastAsia="黑体" w:hAnsi="黑体"/>
          <w:sz w:val="32"/>
          <w:szCs w:val="32"/>
        </w:rPr>
      </w:pPr>
      <w:r>
        <w:rPr>
          <w:rFonts w:ascii="黑体" w:eastAsia="黑体" w:hAnsi="黑体" w:hint="eastAsia"/>
          <w:spacing w:val="-12"/>
          <w:sz w:val="32"/>
          <w:szCs w:val="32"/>
        </w:rPr>
        <w:t>三、</w:t>
      </w:r>
      <w:r w:rsidR="007C3794" w:rsidRPr="00307BB7">
        <w:rPr>
          <w:rFonts w:ascii="黑体" w:eastAsia="黑体" w:hAnsi="黑体" w:hint="eastAsia"/>
          <w:sz w:val="32"/>
          <w:szCs w:val="32"/>
        </w:rPr>
        <w:t>大肠菌群</w:t>
      </w:r>
    </w:p>
    <w:p w:rsidR="00DA4CB6" w:rsidRDefault="007C3794" w:rsidP="007C3794">
      <w:pPr>
        <w:ind w:firstLineChars="200" w:firstLine="640"/>
        <w:rPr>
          <w:rFonts w:ascii="仿宋_GB2312" w:eastAsia="仿宋_GB2312" w:hAnsi="Times New Roman" w:cs="Times New Roman"/>
          <w:sz w:val="32"/>
          <w:szCs w:val="32"/>
        </w:rPr>
      </w:pPr>
      <w:r w:rsidRPr="00307BB7">
        <w:rPr>
          <w:rFonts w:ascii="仿宋_GB2312" w:eastAsia="仿宋_GB2312" w:hint="eastAsia"/>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rsidR="007C3794" w:rsidRPr="0075496D" w:rsidRDefault="00DA4CB6" w:rsidP="007C3794">
      <w:pPr>
        <w:ind w:firstLineChars="200" w:firstLine="640"/>
        <w:rPr>
          <w:rFonts w:ascii="黑体" w:eastAsia="黑体" w:hAnsi="黑体"/>
          <w:sz w:val="32"/>
          <w:szCs w:val="32"/>
        </w:rPr>
      </w:pPr>
      <w:r>
        <w:rPr>
          <w:rFonts w:ascii="黑体" w:eastAsia="黑体" w:hAnsi="黑体" w:cs="黑体" w:hint="eastAsia"/>
          <w:kern w:val="0"/>
          <w:sz w:val="32"/>
          <w:szCs w:val="32"/>
        </w:rPr>
        <w:t>四、</w:t>
      </w:r>
      <w:r w:rsidR="007C3794" w:rsidRPr="0075496D">
        <w:rPr>
          <w:rFonts w:ascii="黑体" w:eastAsia="黑体" w:hAnsi="黑体" w:hint="eastAsia"/>
          <w:sz w:val="32"/>
          <w:szCs w:val="32"/>
        </w:rPr>
        <w:t>菌落总数</w:t>
      </w:r>
    </w:p>
    <w:p w:rsidR="00DA4CB6" w:rsidRPr="00EF2FC7" w:rsidRDefault="007C3794" w:rsidP="007C3794">
      <w:pPr>
        <w:spacing w:line="360" w:lineRule="auto"/>
        <w:ind w:firstLineChars="200" w:firstLine="640"/>
        <w:rPr>
          <w:rFonts w:ascii="仿宋_GB2312" w:eastAsia="仿宋_GB2312" w:hAnsi="宋体" w:cs="宋体"/>
          <w:color w:val="000000"/>
          <w:kern w:val="0"/>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7C3794" w:rsidRDefault="00DA4CB6" w:rsidP="007C3794">
      <w:pPr>
        <w:ind w:firstLineChars="200" w:firstLine="640"/>
        <w:rPr>
          <w:rFonts w:ascii="黑体" w:eastAsia="黑体" w:hAnsi="黑体"/>
          <w:sz w:val="32"/>
          <w:szCs w:val="32"/>
        </w:rPr>
      </w:pPr>
      <w:r>
        <w:rPr>
          <w:rFonts w:ascii="黑体" w:eastAsia="黑体" w:hAnsi="黑体" w:hint="eastAsia"/>
          <w:sz w:val="32"/>
          <w:szCs w:val="32"/>
        </w:rPr>
        <w:t>五</w:t>
      </w:r>
      <w:r w:rsidRPr="005D7D45">
        <w:rPr>
          <w:rFonts w:ascii="黑体" w:eastAsia="黑体" w:hAnsi="黑体" w:hint="eastAsia"/>
          <w:sz w:val="32"/>
          <w:szCs w:val="32"/>
        </w:rPr>
        <w:t>、</w:t>
      </w:r>
      <w:r w:rsidR="007C3794">
        <w:rPr>
          <w:rFonts w:ascii="黑体" w:eastAsia="黑体" w:hAnsi="黑体" w:hint="eastAsia"/>
          <w:sz w:val="32"/>
          <w:szCs w:val="32"/>
        </w:rPr>
        <w:t>柠檬黄、</w:t>
      </w:r>
      <w:r w:rsidR="007C3794">
        <w:rPr>
          <w:rFonts w:ascii="黑体" w:eastAsia="黑体" w:hAnsi="黑体" w:hint="eastAsia"/>
          <w:kern w:val="0"/>
          <w:sz w:val="32"/>
          <w:szCs w:val="32"/>
        </w:rPr>
        <w:t>日落黄、</w:t>
      </w:r>
      <w:r w:rsidR="007C3794">
        <w:rPr>
          <w:rFonts w:ascii="黑体" w:eastAsia="黑体" w:hAnsi="黑体" w:hint="eastAsia"/>
          <w:spacing w:val="-12"/>
          <w:sz w:val="32"/>
          <w:szCs w:val="32"/>
        </w:rPr>
        <w:t>胭脂红</w:t>
      </w:r>
    </w:p>
    <w:p w:rsidR="002A6787" w:rsidRPr="006C13A8" w:rsidRDefault="007C3794" w:rsidP="006C13A8">
      <w:pPr>
        <w:ind w:firstLineChars="200" w:firstLine="640"/>
        <w:rPr>
          <w:rFonts w:ascii="仿宋_GB2312" w:eastAsia="仿宋_GB2312"/>
          <w:sz w:val="32"/>
          <w:szCs w:val="32"/>
        </w:rPr>
      </w:pPr>
      <w:r w:rsidRPr="006C13A8">
        <w:rPr>
          <w:rFonts w:ascii="仿宋_GB2312" w:eastAsia="仿宋_GB2312" w:hAnsi="黑体" w:hint="eastAsia"/>
          <w:sz w:val="32"/>
          <w:szCs w:val="32"/>
        </w:rPr>
        <w:t>柠檬黄、</w:t>
      </w:r>
      <w:r w:rsidRPr="006C13A8">
        <w:rPr>
          <w:rFonts w:ascii="仿宋_GB2312" w:eastAsia="仿宋_GB2312" w:hAnsi="黑体" w:hint="eastAsia"/>
          <w:kern w:val="0"/>
          <w:sz w:val="32"/>
          <w:szCs w:val="32"/>
        </w:rPr>
        <w:t>日落黄、</w:t>
      </w:r>
      <w:r w:rsidRPr="006C13A8">
        <w:rPr>
          <w:rFonts w:ascii="仿宋_GB2312" w:eastAsia="仿宋_GB2312" w:hAnsi="黑体" w:hint="eastAsia"/>
          <w:spacing w:val="-12"/>
          <w:sz w:val="32"/>
          <w:szCs w:val="32"/>
        </w:rPr>
        <w:t>胭脂红</w:t>
      </w:r>
      <w:r w:rsidRPr="006C13A8">
        <w:rPr>
          <w:rFonts w:ascii="仿宋_GB2312" w:eastAsia="仿宋_GB2312" w:hint="eastAsia"/>
          <w:sz w:val="32"/>
          <w:szCs w:val="32"/>
        </w:rPr>
        <w:t>是一种人工合成的食用着色剂，其在食品中的使用范围和使用限量需要严格按照国家标准《食品安全国家标准 食品添加剂使用标准》（GB 2760—2014）的要求执行，该标准规定</w:t>
      </w:r>
      <w:r w:rsidR="006C13A8" w:rsidRPr="006C13A8">
        <w:rPr>
          <w:rFonts w:ascii="仿宋_GB2312" w:eastAsia="仿宋_GB2312" w:hAnsi="黑体" w:hint="eastAsia"/>
          <w:sz w:val="32"/>
          <w:szCs w:val="32"/>
        </w:rPr>
        <w:t>柠檬黄、</w:t>
      </w:r>
      <w:r w:rsidR="006C13A8" w:rsidRPr="006C13A8">
        <w:rPr>
          <w:rFonts w:ascii="仿宋_GB2312" w:eastAsia="仿宋_GB2312" w:hAnsi="黑体" w:hint="eastAsia"/>
          <w:kern w:val="0"/>
          <w:sz w:val="32"/>
          <w:szCs w:val="32"/>
        </w:rPr>
        <w:t>日落黄</w:t>
      </w:r>
      <w:r w:rsidR="006C13A8">
        <w:rPr>
          <w:rFonts w:ascii="仿宋_GB2312" w:eastAsia="仿宋_GB2312" w:hAnsi="黑体" w:hint="eastAsia"/>
          <w:kern w:val="0"/>
          <w:sz w:val="32"/>
          <w:szCs w:val="32"/>
        </w:rPr>
        <w:t>和</w:t>
      </w:r>
      <w:r w:rsidR="006C13A8" w:rsidRPr="006C13A8">
        <w:rPr>
          <w:rFonts w:ascii="仿宋_GB2312" w:eastAsia="仿宋_GB2312" w:hAnsi="黑体" w:hint="eastAsia"/>
          <w:spacing w:val="-12"/>
          <w:sz w:val="32"/>
          <w:szCs w:val="32"/>
        </w:rPr>
        <w:t>胭脂红</w:t>
      </w:r>
      <w:r w:rsidRPr="006C13A8">
        <w:rPr>
          <w:rFonts w:ascii="仿宋_GB2312" w:eastAsia="仿宋_GB2312" w:hint="eastAsia"/>
          <w:sz w:val="32"/>
          <w:szCs w:val="32"/>
        </w:rPr>
        <w:t>在茶叶中为不得使用。茶叶中检出</w:t>
      </w:r>
      <w:r w:rsidR="006C13A8" w:rsidRPr="006C13A8">
        <w:rPr>
          <w:rFonts w:ascii="仿宋_GB2312" w:eastAsia="仿宋_GB2312" w:hAnsi="黑体" w:hint="eastAsia"/>
          <w:sz w:val="32"/>
          <w:szCs w:val="32"/>
        </w:rPr>
        <w:t>柠檬黄、</w:t>
      </w:r>
      <w:r w:rsidR="006C13A8" w:rsidRPr="006C13A8">
        <w:rPr>
          <w:rFonts w:ascii="仿宋_GB2312" w:eastAsia="仿宋_GB2312" w:hAnsi="黑体" w:hint="eastAsia"/>
          <w:kern w:val="0"/>
          <w:sz w:val="32"/>
          <w:szCs w:val="32"/>
        </w:rPr>
        <w:t>日落黄</w:t>
      </w:r>
      <w:r w:rsidR="006C13A8">
        <w:rPr>
          <w:rFonts w:ascii="仿宋_GB2312" w:eastAsia="仿宋_GB2312" w:hAnsi="黑体" w:hint="eastAsia"/>
          <w:kern w:val="0"/>
          <w:sz w:val="32"/>
          <w:szCs w:val="32"/>
        </w:rPr>
        <w:t>和</w:t>
      </w:r>
      <w:r w:rsidR="006C13A8" w:rsidRPr="006C13A8">
        <w:rPr>
          <w:rFonts w:ascii="仿宋_GB2312" w:eastAsia="仿宋_GB2312" w:hAnsi="黑体" w:hint="eastAsia"/>
          <w:spacing w:val="-12"/>
          <w:sz w:val="32"/>
          <w:szCs w:val="32"/>
        </w:rPr>
        <w:t>胭脂红</w:t>
      </w:r>
      <w:r w:rsidRPr="006C13A8">
        <w:rPr>
          <w:rFonts w:ascii="仿宋_GB2312" w:eastAsia="仿宋_GB2312" w:hint="eastAsia"/>
          <w:sz w:val="32"/>
          <w:szCs w:val="32"/>
        </w:rPr>
        <w:t>可能是企业在生产加工过程中为了改善茶叶感官品质，超范围使用了该</w:t>
      </w:r>
      <w:r w:rsidR="006C13A8">
        <w:rPr>
          <w:rFonts w:ascii="仿宋_GB2312" w:eastAsia="仿宋_GB2312" w:hint="eastAsia"/>
          <w:sz w:val="32"/>
          <w:szCs w:val="32"/>
        </w:rPr>
        <w:t>类</w:t>
      </w:r>
      <w:r w:rsidRPr="006C13A8">
        <w:rPr>
          <w:rFonts w:ascii="仿宋_GB2312" w:eastAsia="仿宋_GB2312" w:hint="eastAsia"/>
          <w:sz w:val="32"/>
          <w:szCs w:val="32"/>
        </w:rPr>
        <w:t>食品添加剂。合成着色剂本身没有营养价值,但长期过量食用可能对人体健康产生一定影响。</w:t>
      </w:r>
    </w:p>
    <w:sectPr w:rsidR="002A6787" w:rsidRPr="006C13A8" w:rsidSect="00CD5518">
      <w:footerReference w:type="default" r:id="rId10"/>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62" w:rsidRDefault="00607962">
      <w:r>
        <w:separator/>
      </w:r>
    </w:p>
  </w:endnote>
  <w:endnote w:type="continuationSeparator" w:id="0">
    <w:p w:rsidR="00607962" w:rsidRDefault="006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2A6787" w:rsidRDefault="004D6D8C">
        <w:pPr>
          <w:pStyle w:val="a4"/>
          <w:jc w:val="center"/>
        </w:pPr>
        <w:r>
          <w:fldChar w:fldCharType="begin"/>
        </w:r>
        <w:r>
          <w:instrText>PAGE   \* MERGEFORMAT</w:instrText>
        </w:r>
        <w:r>
          <w:fldChar w:fldCharType="separate"/>
        </w:r>
        <w:r w:rsidR="00191422" w:rsidRPr="00191422">
          <w:rPr>
            <w:noProof/>
            <w:lang w:val="zh-CN"/>
          </w:rPr>
          <w:t>2</w:t>
        </w:r>
        <w:r>
          <w:fldChar w:fldCharType="end"/>
        </w:r>
      </w:p>
    </w:sdtContent>
  </w:sdt>
  <w:p w:rsidR="002A6787" w:rsidRDefault="002A6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62" w:rsidRDefault="00607962">
      <w:r>
        <w:separator/>
      </w:r>
    </w:p>
  </w:footnote>
  <w:footnote w:type="continuationSeparator" w:id="0">
    <w:p w:rsidR="00607962" w:rsidRDefault="0060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59A0"/>
    <w:multiLevelType w:val="singleLevel"/>
    <w:tmpl w:val="58A259A0"/>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36584"/>
    <w:rsid w:val="00036D20"/>
    <w:rsid w:val="00057C9D"/>
    <w:rsid w:val="000800AE"/>
    <w:rsid w:val="000960A5"/>
    <w:rsid w:val="00097E5A"/>
    <w:rsid w:val="000A1CA7"/>
    <w:rsid w:val="000B6096"/>
    <w:rsid w:val="000C00DC"/>
    <w:rsid w:val="000D287B"/>
    <w:rsid w:val="000E3A94"/>
    <w:rsid w:val="00102897"/>
    <w:rsid w:val="00113712"/>
    <w:rsid w:val="00156C2C"/>
    <w:rsid w:val="001570A9"/>
    <w:rsid w:val="00187CA6"/>
    <w:rsid w:val="00191422"/>
    <w:rsid w:val="0027627B"/>
    <w:rsid w:val="002A6787"/>
    <w:rsid w:val="002C0406"/>
    <w:rsid w:val="003204A5"/>
    <w:rsid w:val="00333515"/>
    <w:rsid w:val="003377ED"/>
    <w:rsid w:val="00346C49"/>
    <w:rsid w:val="00357F27"/>
    <w:rsid w:val="0038633A"/>
    <w:rsid w:val="003A74FA"/>
    <w:rsid w:val="003C099F"/>
    <w:rsid w:val="003D0B14"/>
    <w:rsid w:val="003D408E"/>
    <w:rsid w:val="003D6F4F"/>
    <w:rsid w:val="003E182B"/>
    <w:rsid w:val="003F6FCD"/>
    <w:rsid w:val="00417336"/>
    <w:rsid w:val="00457D30"/>
    <w:rsid w:val="004D6D8C"/>
    <w:rsid w:val="004F3122"/>
    <w:rsid w:val="004F7510"/>
    <w:rsid w:val="00501596"/>
    <w:rsid w:val="00506EEA"/>
    <w:rsid w:val="005771A5"/>
    <w:rsid w:val="005C48B9"/>
    <w:rsid w:val="005D7D45"/>
    <w:rsid w:val="005F6AB2"/>
    <w:rsid w:val="00607962"/>
    <w:rsid w:val="006160D5"/>
    <w:rsid w:val="006360F5"/>
    <w:rsid w:val="00656EA2"/>
    <w:rsid w:val="00665E0C"/>
    <w:rsid w:val="00687316"/>
    <w:rsid w:val="0069030F"/>
    <w:rsid w:val="006A6837"/>
    <w:rsid w:val="006C13A8"/>
    <w:rsid w:val="006F32DE"/>
    <w:rsid w:val="007319E1"/>
    <w:rsid w:val="0077575E"/>
    <w:rsid w:val="0077710D"/>
    <w:rsid w:val="00782632"/>
    <w:rsid w:val="00783A82"/>
    <w:rsid w:val="007C3794"/>
    <w:rsid w:val="00804CA1"/>
    <w:rsid w:val="00823A9C"/>
    <w:rsid w:val="008303FC"/>
    <w:rsid w:val="008448AE"/>
    <w:rsid w:val="00854D09"/>
    <w:rsid w:val="00860C48"/>
    <w:rsid w:val="00880F04"/>
    <w:rsid w:val="00895177"/>
    <w:rsid w:val="008A7D28"/>
    <w:rsid w:val="008D7ECA"/>
    <w:rsid w:val="00910447"/>
    <w:rsid w:val="009125A7"/>
    <w:rsid w:val="0092760E"/>
    <w:rsid w:val="00933A31"/>
    <w:rsid w:val="0096507D"/>
    <w:rsid w:val="00976265"/>
    <w:rsid w:val="009960AD"/>
    <w:rsid w:val="009B17D9"/>
    <w:rsid w:val="009B2B3B"/>
    <w:rsid w:val="009C78F5"/>
    <w:rsid w:val="009E0C03"/>
    <w:rsid w:val="00A1575B"/>
    <w:rsid w:val="00AA1305"/>
    <w:rsid w:val="00AB7501"/>
    <w:rsid w:val="00AC1A0C"/>
    <w:rsid w:val="00AE7A33"/>
    <w:rsid w:val="00AF7C43"/>
    <w:rsid w:val="00B04363"/>
    <w:rsid w:val="00B2683B"/>
    <w:rsid w:val="00B2770C"/>
    <w:rsid w:val="00B30AAD"/>
    <w:rsid w:val="00B92D7D"/>
    <w:rsid w:val="00B949BB"/>
    <w:rsid w:val="00BC4E4C"/>
    <w:rsid w:val="00C76BF7"/>
    <w:rsid w:val="00C945C2"/>
    <w:rsid w:val="00CA4F2E"/>
    <w:rsid w:val="00CB4B16"/>
    <w:rsid w:val="00CB75E2"/>
    <w:rsid w:val="00CD5518"/>
    <w:rsid w:val="00CE13D2"/>
    <w:rsid w:val="00CF0D96"/>
    <w:rsid w:val="00CF40DE"/>
    <w:rsid w:val="00D0759D"/>
    <w:rsid w:val="00D417A6"/>
    <w:rsid w:val="00D41D67"/>
    <w:rsid w:val="00D46205"/>
    <w:rsid w:val="00D75ACB"/>
    <w:rsid w:val="00DA4CB6"/>
    <w:rsid w:val="00DB35A6"/>
    <w:rsid w:val="00E06234"/>
    <w:rsid w:val="00E31D88"/>
    <w:rsid w:val="00E45F03"/>
    <w:rsid w:val="00E610CF"/>
    <w:rsid w:val="00E764E7"/>
    <w:rsid w:val="00EB5C27"/>
    <w:rsid w:val="00EC1159"/>
    <w:rsid w:val="00F05C73"/>
    <w:rsid w:val="00F07436"/>
    <w:rsid w:val="00F1553E"/>
    <w:rsid w:val="00F21826"/>
    <w:rsid w:val="00F4231D"/>
    <w:rsid w:val="00F5535A"/>
    <w:rsid w:val="00F56DA2"/>
    <w:rsid w:val="00FE1ED3"/>
    <w:rsid w:val="07107AFC"/>
    <w:rsid w:val="0FAA3555"/>
    <w:rsid w:val="183015E8"/>
    <w:rsid w:val="25264285"/>
    <w:rsid w:val="3015654A"/>
    <w:rsid w:val="43B576DD"/>
    <w:rsid w:val="4510012C"/>
    <w:rsid w:val="4FA37E96"/>
    <w:rsid w:val="6095650F"/>
    <w:rsid w:val="675337A2"/>
    <w:rsid w:val="746C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34"/>
    <w:qFormat/>
    <w:rsid w:val="00CA4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34"/>
    <w:qFormat/>
    <w:rsid w:val="00CA4F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564">
      <w:bodyDiv w:val="1"/>
      <w:marLeft w:val="0"/>
      <w:marRight w:val="0"/>
      <w:marTop w:val="0"/>
      <w:marBottom w:val="0"/>
      <w:divBdr>
        <w:top w:val="none" w:sz="0" w:space="0" w:color="auto"/>
        <w:left w:val="none" w:sz="0" w:space="0" w:color="auto"/>
        <w:bottom w:val="none" w:sz="0" w:space="0" w:color="auto"/>
        <w:right w:val="none" w:sz="0" w:space="0" w:color="auto"/>
      </w:divBdr>
    </w:div>
    <w:div w:id="256527844">
      <w:bodyDiv w:val="1"/>
      <w:marLeft w:val="0"/>
      <w:marRight w:val="0"/>
      <w:marTop w:val="0"/>
      <w:marBottom w:val="0"/>
      <w:divBdr>
        <w:top w:val="none" w:sz="0" w:space="0" w:color="auto"/>
        <w:left w:val="none" w:sz="0" w:space="0" w:color="auto"/>
        <w:bottom w:val="none" w:sz="0" w:space="0" w:color="auto"/>
        <w:right w:val="none" w:sz="0" w:space="0" w:color="auto"/>
      </w:divBdr>
    </w:div>
    <w:div w:id="133387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BE306-CA2E-440D-BB40-0F6F4CB4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446</Words>
  <Characters>496</Characters>
  <Application>Microsoft Office Word</Application>
  <DocSecurity>0</DocSecurity>
  <Lines>20</Lines>
  <Paragraphs>10</Paragraphs>
  <ScaleCrop>false</ScaleCrop>
  <Company>http://sdwm.org</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秦广玲</cp:lastModifiedBy>
  <cp:revision>27</cp:revision>
  <cp:lastPrinted>2017-01-10T00:46:00Z</cp:lastPrinted>
  <dcterms:created xsi:type="dcterms:W3CDTF">2016-12-08T03:00:00Z</dcterms:created>
  <dcterms:modified xsi:type="dcterms:W3CDTF">2017-02-20T03:10:00Z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