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left"/>
        <w:rPr>
          <w:rFonts w:hint="eastAsia" w:ascii="黑体" w:hAnsi="黑体" w:eastAsia="黑体" w:cs="黑体"/>
          <w:bCs/>
          <w:color w:val="000000"/>
          <w:sz w:val="36"/>
          <w:szCs w:val="36"/>
          <w:lang w:val="en-US" w:eastAsia="zh-CN"/>
        </w:rPr>
      </w:pPr>
      <w:r>
        <w:rPr>
          <w:rFonts w:hint="eastAsia" w:ascii="黑体" w:hAnsi="黑体" w:eastAsia="黑体" w:cs="黑体"/>
          <w:bCs/>
          <w:color w:val="000000"/>
          <w:sz w:val="36"/>
          <w:szCs w:val="36"/>
          <w:lang w:val="en-US" w:eastAsia="zh-CN"/>
        </w:rPr>
        <w:t>附件1</w:t>
      </w:r>
      <w:bookmarkStart w:id="0" w:name="_GoBack"/>
      <w:bookmarkEnd w:id="0"/>
    </w:p>
    <w:p>
      <w:pPr>
        <w:spacing w:line="580" w:lineRule="exact"/>
        <w:jc w:val="left"/>
        <w:rPr>
          <w:rFonts w:hint="eastAsia" w:ascii="华康简标题宋" w:hAnsi="华康简标题宋" w:eastAsia="华康简标题宋" w:cs="华康简标题宋"/>
          <w:bCs/>
          <w:color w:val="000000"/>
          <w:sz w:val="44"/>
          <w:szCs w:val="44"/>
        </w:rPr>
      </w:pPr>
    </w:p>
    <w:p>
      <w:pPr>
        <w:spacing w:line="580" w:lineRule="exact"/>
        <w:jc w:val="center"/>
        <w:rPr>
          <w:rFonts w:hint="eastAsia" w:ascii="华康简标题宋" w:hAnsi="华康简标题宋" w:eastAsia="华康简标题宋" w:cs="华康简标题宋"/>
          <w:bCs/>
          <w:color w:val="000000"/>
          <w:sz w:val="44"/>
          <w:szCs w:val="44"/>
        </w:rPr>
      </w:pPr>
      <w:r>
        <w:rPr>
          <w:rFonts w:hint="eastAsia" w:ascii="华康简标题宋" w:hAnsi="华康简标题宋" w:eastAsia="华康简标题宋" w:cs="华康简标题宋"/>
          <w:bCs/>
          <w:color w:val="000000"/>
          <w:sz w:val="44"/>
          <w:szCs w:val="44"/>
        </w:rPr>
        <w:t>“中国好粮油”行动示范县和示范企业</w:t>
      </w:r>
    </w:p>
    <w:p>
      <w:pPr>
        <w:spacing w:line="580" w:lineRule="exact"/>
        <w:jc w:val="center"/>
        <w:rPr>
          <w:rFonts w:hint="eastAsia" w:ascii="华康简标题宋" w:hAnsi="华康简标题宋" w:eastAsia="华康简标题宋" w:cs="华康简标题宋"/>
          <w:bCs/>
          <w:color w:val="000000"/>
          <w:sz w:val="44"/>
          <w:szCs w:val="44"/>
        </w:rPr>
      </w:pPr>
      <w:r>
        <w:rPr>
          <w:rFonts w:hint="eastAsia" w:ascii="华康简标题宋" w:hAnsi="华康简标题宋" w:eastAsia="华康简标题宋" w:cs="华康简标题宋"/>
          <w:bCs/>
          <w:color w:val="000000"/>
          <w:sz w:val="44"/>
          <w:szCs w:val="44"/>
        </w:rPr>
        <w:t>申报指南</w:t>
      </w:r>
    </w:p>
    <w:p>
      <w:pPr>
        <w:snapToGrid w:val="0"/>
        <w:spacing w:line="580" w:lineRule="exact"/>
        <w:ind w:firstLine="640" w:firstLineChars="200"/>
        <w:rPr>
          <w:rFonts w:ascii="仿宋" w:hAnsi="仿宋" w:eastAsia="仿宋"/>
        </w:rPr>
      </w:pP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为推进实施中国好粮油行动计划，财政部和粮食局拟选择一批具有优质粮油生产潜力的产粮产油县和粮油加工龙头企业，开展中国好粮油行动示范。</w:t>
      </w:r>
      <w:r>
        <w:rPr>
          <w:rFonts w:ascii="仿宋" w:hAnsi="仿宋" w:eastAsia="仿宋"/>
          <w:sz w:val="36"/>
          <w:szCs w:val="36"/>
        </w:rPr>
        <w:t>为指导各地做好2017年</w:t>
      </w:r>
      <w:r>
        <w:rPr>
          <w:rFonts w:hint="eastAsia" w:ascii="仿宋" w:hAnsi="仿宋" w:eastAsia="仿宋"/>
          <w:sz w:val="36"/>
          <w:szCs w:val="36"/>
        </w:rPr>
        <w:t>度中国好粮油行动示范工程</w:t>
      </w:r>
      <w:r>
        <w:rPr>
          <w:rFonts w:ascii="仿宋" w:hAnsi="仿宋" w:eastAsia="仿宋"/>
          <w:sz w:val="36"/>
          <w:szCs w:val="36"/>
        </w:rPr>
        <w:t>申报工作，特制定本</w:t>
      </w:r>
      <w:r>
        <w:rPr>
          <w:rFonts w:hint="eastAsia" w:ascii="仿宋" w:hAnsi="仿宋" w:eastAsia="仿宋"/>
          <w:sz w:val="36"/>
          <w:szCs w:val="36"/>
        </w:rPr>
        <w:t>申报指南</w:t>
      </w:r>
      <w:r>
        <w:rPr>
          <w:rFonts w:ascii="仿宋" w:hAnsi="仿宋" w:eastAsia="仿宋"/>
          <w:sz w:val="36"/>
          <w:szCs w:val="36"/>
        </w:rPr>
        <w:t>。</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一、目的意义</w:t>
      </w:r>
    </w:p>
    <w:p>
      <w:pPr>
        <w:adjustRightInd w:val="0"/>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聚焦增加绿色优质粮油产品供给，发挥市场对生产的引导作用，通过标准引领、质量测评、品牌培育、健康宣传和试点示范，推进优质粮油流通体系建设，打造优质粮油产品及品牌，建立“优质优价”的粮食流通方式和市场交易机制，引导农民调整优化种植结构，提高绿色优质粮食产品的供给水平，满足城乡居民消费升级</w:t>
      </w:r>
      <w:r>
        <w:rPr>
          <w:rFonts w:ascii="仿宋" w:hAnsi="仿宋" w:eastAsia="仿宋"/>
          <w:sz w:val="36"/>
          <w:szCs w:val="36"/>
        </w:rPr>
        <w:t>需求</w:t>
      </w:r>
      <w:r>
        <w:rPr>
          <w:rFonts w:hint="eastAsia" w:ascii="仿宋" w:hAnsi="仿宋" w:eastAsia="仿宋"/>
          <w:sz w:val="36"/>
          <w:szCs w:val="36"/>
        </w:rPr>
        <w:t>，加快实现粮食供给从解决“吃得饱”到满足“吃得好”的转变。通过实施中国好粮油行动计划，力争到2020年把全国产粮大县的粮食优质品率提高30%左右。</w:t>
      </w:r>
    </w:p>
    <w:p>
      <w:pPr>
        <w:adjustRightInd w:val="0"/>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二、主要任务</w:t>
      </w:r>
    </w:p>
    <w:p>
      <w:pPr>
        <w:spacing w:line="580" w:lineRule="exact"/>
        <w:ind w:firstLine="640" w:firstLineChars="200"/>
        <w:rPr>
          <w:rFonts w:ascii="仿宋_GB2312"/>
          <w:sz w:val="36"/>
          <w:szCs w:val="36"/>
        </w:rPr>
      </w:pPr>
      <w:r>
        <w:rPr>
          <w:rFonts w:hint="eastAsia" w:ascii="仿宋_GB2312"/>
          <w:sz w:val="36"/>
          <w:szCs w:val="36"/>
        </w:rPr>
        <w:t>聚焦“保障安全、提升品质、改善营养”，通过标准规范、品牌培育、宣传引导、试点示范，在口粮相关的大米、面粉、玉米、植物油等方面打造消费者认可的中国好粮油，提高优质粮油的市场占有率和覆盖面。一是完善优质粮油质量标准，建立“中国好粮油”系列标准和质量控制导则，满足粮食产品分等定级的需要，进一步引导粮食种植、加工等环节的提质升级；二是加强中国好粮油产品的研发，以优质粮油标准为引领，研发高于国标和行标的优质粮油产品，并积极引导研发单位与加工企业的对接，推进研发成果及时转化，满足多元化、差异化的消费需求；三是建立中国好粮油产品及品牌遴选、信息发布和动态调整等制度，培育优质粮食产品和品牌，由各省份按标准推介和调整，并通过“中国好粮油”信息平台发布中国好粮油产品及品牌，引导和推进优质专用粮食进入平台交易，增加优质产品供给；四是向实体店推荐中国好粮油产品，鼓励企业自建好粮油产品实体店；五是开展“以谷类为主”的膳食营养健康宣传，建立“谷类健康消费指南”，引导老百姓科学消费，保障身体健康，促进粮食消费升级；六是支持建设一批优质粮油示范基地，覆盖从田间到餐桌全产业链，培育优质粮食种植、收储、加工基地，加强检验监测服务，加强新标准、新产品的应用示范，实现“好粮油”产品质量全程可追溯。</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三</w:t>
      </w:r>
      <w:r>
        <w:rPr>
          <w:rFonts w:ascii="黑体" w:hAnsi="黑体" w:eastAsia="黑体"/>
          <w:sz w:val="36"/>
          <w:szCs w:val="36"/>
        </w:rPr>
        <w:t>、</w:t>
      </w:r>
      <w:r>
        <w:rPr>
          <w:rFonts w:hint="eastAsia" w:ascii="黑体" w:hAnsi="黑体" w:eastAsia="黑体"/>
          <w:sz w:val="36"/>
          <w:szCs w:val="36"/>
        </w:rPr>
        <w:t>示范工程</w:t>
      </w:r>
      <w:r>
        <w:rPr>
          <w:rFonts w:ascii="黑体" w:hAnsi="黑体" w:eastAsia="黑体"/>
          <w:sz w:val="36"/>
          <w:szCs w:val="36"/>
        </w:rPr>
        <w:t>申报</w:t>
      </w:r>
      <w:r>
        <w:rPr>
          <w:rFonts w:hint="eastAsia" w:ascii="黑体" w:hAnsi="黑体" w:eastAsia="黑体"/>
          <w:sz w:val="36"/>
          <w:szCs w:val="36"/>
        </w:rPr>
        <w:t>和遴选办法</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中国好粮油示范县和示范企业主要由省级财政和粮食部门组织推荐，财政部、国家粮食局组织专家评审，在符合支持方向、申报要求及分配名额条件下，择优确定。粮食主产省份可推荐5-8个示范县；其他省份可推荐2-3个示范县；各省（区、市）结合自身实际可推荐1-2家示范企业。每家中央企业可申报1-2家示范企业，通过属地省级粮食部门单列申报。</w:t>
      </w:r>
    </w:p>
    <w:p>
      <w:pPr>
        <w:snapToGrid w:val="0"/>
        <w:spacing w:line="580" w:lineRule="exact"/>
        <w:ind w:left="851"/>
        <w:rPr>
          <w:rFonts w:ascii="黑体" w:hAnsi="黑体" w:eastAsia="黑体"/>
          <w:sz w:val="36"/>
          <w:szCs w:val="36"/>
        </w:rPr>
      </w:pPr>
      <w:r>
        <w:rPr>
          <w:rFonts w:hint="eastAsia" w:ascii="黑体" w:hAnsi="黑体" w:eastAsia="黑体"/>
          <w:sz w:val="36"/>
          <w:szCs w:val="36"/>
        </w:rPr>
        <w:t>四、支持方向</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示范县主要支持具有优质粮油生产潜力的产粮产油大县及名特粮油生产县；示范企业主要支持积极开发生产符合“好粮油”标准的米、面、植物油、挂面、杂粮杂豆等口粮和食用油产品加工企业。</w:t>
      </w:r>
    </w:p>
    <w:p>
      <w:pPr>
        <w:snapToGrid w:val="0"/>
        <w:spacing w:line="580" w:lineRule="exact"/>
        <w:ind w:firstLine="643" w:firstLineChars="200"/>
        <w:rPr>
          <w:rFonts w:ascii="楷体" w:hAnsi="楷体" w:eastAsia="楷体"/>
          <w:b/>
          <w:sz w:val="36"/>
          <w:szCs w:val="36"/>
        </w:rPr>
      </w:pPr>
      <w:r>
        <w:rPr>
          <w:rFonts w:hint="eastAsia" w:ascii="楷体" w:hAnsi="楷体" w:eastAsia="楷体"/>
          <w:b/>
          <w:sz w:val="36"/>
          <w:szCs w:val="36"/>
        </w:rPr>
        <w:t>（一）示范县</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1.组织开展收获粮油品质测报。在粮食（包括油料）收获的第一时间，及时组织对当地新收获的主要粮油品种的品质与安全状况进行全面测评、排序和发布，引导粮食品种结构优化，促进优质品种的规模化生产，引导优质粮油的分类收储和销售。</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2.开展多种形式的优质粮油产销对接活动，打造地域特色粮油品牌，创新优质粮油生产和流通组织模式、运行机制，促进形成种粮农民与企业的利益共享机制，实现优质优价和农民增收。</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3.积极推动优质原粮的平台交易。鼓励当地的粮食生产经营主体，积极参与国家和省级粮食交易平台定期开展的中国好粮油专场销售活动，为参与平台交易的标的产品提供第三方检测证书、交易保证金等保障支持。</w:t>
      </w:r>
      <w:r>
        <w:rPr>
          <w:rFonts w:ascii="仿宋" w:hAnsi="仿宋" w:eastAsia="仿宋"/>
          <w:sz w:val="36"/>
          <w:szCs w:val="36"/>
        </w:rPr>
        <w:t xml:space="preserve"> </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4.鼓励各类粮食经营主体积极采用质量检验、保质烘干、分类收储、低温储存等新技术，建立和完善适合本地区的优质粮食（油料）整理、烘干、检验、分类、储存等技术规程和标准，积极开展技术培训，促进优质粮食提质升级。</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5.鼓励企业积极采用中国好粮油产品标准、质量控制导则及地方特色产品标准，打造绿色优质粮油产品，加强原料和产品的质量检验把关，改善收储、物流、加工装备设施条件，大力推进适度加工和节能降耗，扩大当地优质粮油产品的市场影响力。</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6.联合相关科研机构、院校院所建立科技指导服务体系，指导各类生产经营主体按照中国好粮油标准及规范组织生产，并积极开展相关监督检查活动。</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7.有利于推进中国好粮油行动计划实施的其他内容。</w:t>
      </w:r>
    </w:p>
    <w:p>
      <w:pPr>
        <w:snapToGrid w:val="0"/>
        <w:spacing w:line="580" w:lineRule="exact"/>
        <w:ind w:firstLine="643" w:firstLineChars="200"/>
        <w:rPr>
          <w:rFonts w:ascii="楷体" w:hAnsi="楷体" w:eastAsia="楷体"/>
          <w:b/>
          <w:sz w:val="36"/>
          <w:szCs w:val="36"/>
        </w:rPr>
      </w:pPr>
      <w:r>
        <w:rPr>
          <w:rFonts w:hint="eastAsia" w:ascii="楷体" w:hAnsi="楷体" w:eastAsia="楷体"/>
          <w:b/>
          <w:sz w:val="36"/>
          <w:szCs w:val="36"/>
        </w:rPr>
        <w:t>（二）示范企业</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1.建立跨区域的、覆盖全产业链的优质粮油生产、收储、加工、营销示范体系，能够带动本省或跨省（区、市）不少于5个县域的优质粮油生产基地建设。创建企业与农户、合作社、产后服务中心等主体的利益共享、风险共担以及一二三产融合发展的模式和机制。</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2.积极采用中国好粮油产品标准，开发绿色优质粮油产品，提高符合中国好粮油标准产品的比重。加强产学研合作，积极采用新技术，促进产品结构提质升级。</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3.加强对符合好粮油标准产品的宣传，发挥示范企业的市场引领作用，完善产品标识，强化产品的安全、品质、营养等特性宣传，引导消费者合理选择、科学消费，满足细分人群的个性化需求。</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4.建立覆盖生产、采购、储存、运输、加工、销售全过程的质量控制及可追溯体系，加强危害分析，建立针对关键控制点的生产记录制度和质量检验制度，建立和实施良好生产规范和操作规范，开展质量体系认证，依托“中国好粮油信息平台”，发布本企业“中国好粮油上榜产品”的质量追溯信息，实现信息公示与公众查询。</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五</w:t>
      </w:r>
      <w:r>
        <w:rPr>
          <w:rFonts w:ascii="黑体" w:hAnsi="黑体" w:eastAsia="黑体"/>
          <w:sz w:val="36"/>
          <w:szCs w:val="36"/>
        </w:rPr>
        <w:t>、</w:t>
      </w:r>
      <w:r>
        <w:rPr>
          <w:rFonts w:hint="eastAsia" w:ascii="黑体" w:hAnsi="黑体" w:eastAsia="黑体"/>
          <w:sz w:val="36"/>
          <w:szCs w:val="36"/>
        </w:rPr>
        <w:t>申报要求</w:t>
      </w:r>
    </w:p>
    <w:p>
      <w:pPr>
        <w:snapToGrid w:val="0"/>
        <w:spacing w:line="580" w:lineRule="exact"/>
        <w:ind w:firstLine="643" w:firstLineChars="200"/>
        <w:rPr>
          <w:rFonts w:ascii="楷体" w:hAnsi="楷体" w:eastAsia="楷体"/>
          <w:b/>
          <w:sz w:val="36"/>
          <w:szCs w:val="36"/>
        </w:rPr>
      </w:pPr>
      <w:r>
        <w:rPr>
          <w:rFonts w:ascii="楷体" w:hAnsi="楷体" w:eastAsia="楷体"/>
          <w:b/>
          <w:sz w:val="36"/>
          <w:szCs w:val="36"/>
        </w:rPr>
        <w:t>（</w:t>
      </w:r>
      <w:r>
        <w:rPr>
          <w:rFonts w:hint="eastAsia" w:ascii="楷体" w:hAnsi="楷体" w:eastAsia="楷体"/>
          <w:b/>
          <w:sz w:val="36"/>
          <w:szCs w:val="36"/>
        </w:rPr>
        <w:t>一</w:t>
      </w:r>
      <w:r>
        <w:rPr>
          <w:rFonts w:ascii="楷体" w:hAnsi="楷体" w:eastAsia="楷体"/>
          <w:b/>
          <w:sz w:val="36"/>
          <w:szCs w:val="36"/>
        </w:rPr>
        <w:t>）</w:t>
      </w:r>
      <w:r>
        <w:rPr>
          <w:rFonts w:hint="eastAsia" w:ascii="楷体" w:hAnsi="楷体" w:eastAsia="楷体"/>
          <w:b/>
          <w:sz w:val="36"/>
          <w:szCs w:val="36"/>
        </w:rPr>
        <w:t>示范县</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1.各省选择和推荐示范县应突出本省粮食品种资源优势，合理布局，优先推荐环境友好型生产、科技支撑能力强、商品率高、具有优质粮油发展潜力的产粮产油县，并与产后服务体系和质检体系建设统筹安排。</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2.示范县应处于优质粮油的优势生产区，具备较好的规模化种植基础、产后服务设施条件及优质粮油营销基础。拥有一批发展势头良好的加工企业，及一定影响力的地域和企业品牌。与科研机构建立紧密合作关系，具备较好的科技支撑和技术服务能力。</w:t>
      </w:r>
      <w:r>
        <w:rPr>
          <w:rFonts w:ascii="仿宋" w:hAnsi="仿宋" w:eastAsia="仿宋"/>
          <w:sz w:val="36"/>
          <w:szCs w:val="36"/>
        </w:rPr>
        <w:t xml:space="preserve"> </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3.示范县应根据中国好粮油行动计划实施方案总体要求，结合本地实际，突出“一县一品”目标，围绕示范县重点支持方向，提出具体建设目标、实施方案、资金安排、预期效果和保障措施等内容。</w:t>
      </w:r>
    </w:p>
    <w:p>
      <w:pPr>
        <w:snapToGrid w:val="0"/>
        <w:spacing w:line="580" w:lineRule="exact"/>
        <w:ind w:firstLine="643" w:firstLineChars="200"/>
        <w:rPr>
          <w:rFonts w:ascii="楷体" w:hAnsi="楷体" w:eastAsia="楷体"/>
          <w:b/>
          <w:sz w:val="36"/>
          <w:szCs w:val="36"/>
        </w:rPr>
      </w:pPr>
      <w:r>
        <w:rPr>
          <w:rFonts w:ascii="楷体" w:hAnsi="楷体" w:eastAsia="楷体"/>
          <w:b/>
          <w:sz w:val="36"/>
          <w:szCs w:val="36"/>
        </w:rPr>
        <w:t>（二）</w:t>
      </w:r>
      <w:r>
        <w:rPr>
          <w:rFonts w:hint="eastAsia" w:ascii="楷体" w:hAnsi="楷体" w:eastAsia="楷体"/>
          <w:b/>
          <w:sz w:val="36"/>
          <w:szCs w:val="36"/>
        </w:rPr>
        <w:t>示范企业</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1.示范企业应为覆盖全产业链、具有全国或区域影响力的粮油加工龙头企业。企业经营状况、信誉等级、财务状况良好，</w:t>
      </w:r>
      <w:r>
        <w:rPr>
          <w:rFonts w:ascii="仿宋" w:hAnsi="仿宋" w:eastAsia="仿宋"/>
          <w:color w:val="000000"/>
          <w:sz w:val="36"/>
          <w:szCs w:val="36"/>
        </w:rPr>
        <w:t>近三年产品产量、产值、销售额、利税等主要指标在全</w:t>
      </w:r>
      <w:r>
        <w:rPr>
          <w:rFonts w:hint="eastAsia" w:ascii="仿宋" w:hAnsi="仿宋" w:eastAsia="仿宋"/>
          <w:color w:val="000000"/>
          <w:sz w:val="36"/>
          <w:szCs w:val="36"/>
        </w:rPr>
        <w:t>国或所在</w:t>
      </w:r>
      <w:r>
        <w:rPr>
          <w:rFonts w:ascii="仿宋" w:hAnsi="仿宋" w:eastAsia="仿宋"/>
          <w:color w:val="000000"/>
          <w:sz w:val="36"/>
          <w:szCs w:val="36"/>
        </w:rPr>
        <w:t>省</w:t>
      </w:r>
      <w:r>
        <w:rPr>
          <w:rFonts w:hint="eastAsia" w:ascii="仿宋" w:hAnsi="仿宋" w:eastAsia="仿宋"/>
          <w:color w:val="000000"/>
          <w:sz w:val="36"/>
          <w:szCs w:val="36"/>
        </w:rPr>
        <w:t>（区、市）</w:t>
      </w:r>
      <w:r>
        <w:rPr>
          <w:rFonts w:ascii="仿宋" w:hAnsi="仿宋" w:eastAsia="仿宋"/>
          <w:color w:val="000000"/>
          <w:sz w:val="36"/>
          <w:szCs w:val="36"/>
        </w:rPr>
        <w:t>同行业中排名</w:t>
      </w:r>
      <w:r>
        <w:rPr>
          <w:rFonts w:hint="eastAsia" w:ascii="仿宋" w:hAnsi="仿宋" w:eastAsia="仿宋"/>
          <w:color w:val="000000"/>
          <w:sz w:val="36"/>
          <w:szCs w:val="36"/>
        </w:rPr>
        <w:t>居前</w:t>
      </w:r>
      <w:r>
        <w:rPr>
          <w:rFonts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hint="eastAsia" w:ascii="仿宋" w:hAnsi="仿宋" w:eastAsia="仿宋"/>
          <w:sz w:val="36"/>
          <w:szCs w:val="36"/>
        </w:rPr>
        <w:t>企业申报内容应符合中国好粮油行动示范工程指南要求。围绕重点支持方向，提出具体建设目标、实施方案、资金安排、预期效果和保障措施等内容。</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3.企业与</w:t>
      </w:r>
      <w:r>
        <w:rPr>
          <w:rFonts w:hint="eastAsia" w:ascii="仿宋" w:hAnsi="仿宋" w:eastAsia="仿宋"/>
          <w:sz w:val="36"/>
          <w:szCs w:val="36"/>
        </w:rPr>
        <w:t>科研院所、大专院校建立了长期稳定的合作关系，企业</w:t>
      </w:r>
      <w:r>
        <w:rPr>
          <w:rFonts w:hint="eastAsia" w:ascii="仿宋" w:hAnsi="仿宋" w:eastAsia="仿宋"/>
          <w:color w:val="000000"/>
          <w:sz w:val="36"/>
          <w:szCs w:val="36"/>
        </w:rPr>
        <w:t>研发投入占销售收入比重明显高于全行业水平。</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4.企业近年内未发生重大质量安全、违法经营事件及安全生产事故。</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六</w:t>
      </w:r>
      <w:r>
        <w:rPr>
          <w:rFonts w:ascii="黑体" w:hAnsi="黑体" w:eastAsia="黑体"/>
          <w:sz w:val="36"/>
          <w:szCs w:val="36"/>
        </w:rPr>
        <w:t>、申报材料要求</w:t>
      </w:r>
    </w:p>
    <w:p>
      <w:pPr>
        <w:snapToGrid w:val="0"/>
        <w:spacing w:line="580" w:lineRule="exact"/>
        <w:ind w:firstLine="640" w:firstLineChars="200"/>
        <w:rPr>
          <w:rFonts w:ascii="仿宋" w:hAnsi="仿宋" w:eastAsia="仿宋"/>
          <w:color w:val="000000"/>
          <w:sz w:val="36"/>
          <w:szCs w:val="36"/>
        </w:rPr>
      </w:pPr>
      <w:r>
        <w:rPr>
          <w:rFonts w:ascii="仿宋" w:hAnsi="仿宋" w:eastAsia="仿宋"/>
          <w:color w:val="000000"/>
          <w:sz w:val="36"/>
          <w:szCs w:val="36"/>
        </w:rPr>
        <w:t>各</w:t>
      </w:r>
      <w:r>
        <w:rPr>
          <w:rFonts w:hint="eastAsia" w:ascii="仿宋" w:hAnsi="仿宋" w:eastAsia="仿宋"/>
          <w:color w:val="000000"/>
          <w:sz w:val="36"/>
          <w:szCs w:val="36"/>
        </w:rPr>
        <w:t>省级财政、粮食部门和中央企业统一组织</w:t>
      </w:r>
      <w:r>
        <w:rPr>
          <w:rFonts w:ascii="仿宋" w:hAnsi="仿宋" w:eastAsia="仿宋"/>
          <w:color w:val="000000"/>
          <w:sz w:val="36"/>
          <w:szCs w:val="36"/>
        </w:rPr>
        <w:t>上报申报文件</w:t>
      </w:r>
      <w:r>
        <w:rPr>
          <w:rFonts w:hint="eastAsia" w:ascii="仿宋" w:hAnsi="仿宋" w:eastAsia="仿宋"/>
          <w:color w:val="000000"/>
          <w:sz w:val="36"/>
          <w:szCs w:val="36"/>
        </w:rPr>
        <w:t>，</w:t>
      </w:r>
      <w:r>
        <w:rPr>
          <w:rFonts w:ascii="仿宋" w:hAnsi="仿宋" w:eastAsia="仿宋"/>
          <w:color w:val="000000"/>
          <w:sz w:val="36"/>
          <w:szCs w:val="36"/>
        </w:rPr>
        <w:t>并对材料真实性</w:t>
      </w:r>
      <w:r>
        <w:rPr>
          <w:rFonts w:hint="eastAsia" w:ascii="仿宋" w:hAnsi="仿宋" w:eastAsia="仿宋"/>
          <w:color w:val="000000"/>
          <w:sz w:val="36"/>
          <w:szCs w:val="36"/>
        </w:rPr>
        <w:t>进行审核</w:t>
      </w:r>
      <w:r>
        <w:rPr>
          <w:rFonts w:ascii="仿宋" w:hAnsi="仿宋" w:eastAsia="仿宋"/>
          <w:color w:val="000000"/>
          <w:sz w:val="36"/>
          <w:szCs w:val="36"/>
        </w:rPr>
        <w:t>。</w:t>
      </w:r>
    </w:p>
    <w:p>
      <w:pPr>
        <w:snapToGrid w:val="0"/>
        <w:spacing w:line="580" w:lineRule="exact"/>
        <w:ind w:firstLine="643" w:firstLineChars="200"/>
        <w:rPr>
          <w:rFonts w:ascii="楷体" w:hAnsi="楷体" w:eastAsia="楷体"/>
          <w:b/>
          <w:color w:val="000000"/>
          <w:sz w:val="36"/>
          <w:szCs w:val="36"/>
        </w:rPr>
      </w:pPr>
      <w:r>
        <w:rPr>
          <w:rFonts w:hint="eastAsia" w:ascii="楷体" w:hAnsi="楷体" w:eastAsia="楷体"/>
          <w:b/>
          <w:color w:val="000000"/>
          <w:sz w:val="36"/>
          <w:szCs w:val="36"/>
        </w:rPr>
        <w:t>（一）示范县申报材料</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1.县级</w:t>
      </w:r>
      <w:r>
        <w:rPr>
          <w:rFonts w:ascii="仿宋" w:hAnsi="仿宋" w:eastAsia="仿宋"/>
          <w:color w:val="000000"/>
          <w:sz w:val="36"/>
          <w:szCs w:val="36"/>
        </w:rPr>
        <w:t>财政、粮食部门申报</w:t>
      </w:r>
      <w:r>
        <w:rPr>
          <w:rFonts w:hint="eastAsia" w:ascii="仿宋" w:hAnsi="仿宋" w:eastAsia="仿宋"/>
          <w:color w:val="000000"/>
          <w:sz w:val="36"/>
          <w:szCs w:val="36"/>
        </w:rPr>
        <w:t>财政</w:t>
      </w:r>
      <w:r>
        <w:rPr>
          <w:rFonts w:ascii="仿宋" w:hAnsi="仿宋" w:eastAsia="仿宋"/>
          <w:color w:val="000000"/>
          <w:sz w:val="36"/>
          <w:szCs w:val="36"/>
        </w:rPr>
        <w:t>补助资金的正式申报文件</w:t>
      </w:r>
      <w:r>
        <w:rPr>
          <w:rFonts w:hint="eastAsia"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ascii="仿宋" w:hAnsi="仿宋" w:eastAsia="仿宋"/>
          <w:color w:val="000000"/>
          <w:sz w:val="36"/>
          <w:szCs w:val="36"/>
        </w:rPr>
        <w:t>《**县2017年</w:t>
      </w:r>
      <w:r>
        <w:rPr>
          <w:rFonts w:hint="eastAsia" w:ascii="仿宋" w:hAnsi="仿宋" w:eastAsia="仿宋"/>
          <w:color w:val="000000"/>
          <w:sz w:val="36"/>
          <w:szCs w:val="36"/>
        </w:rPr>
        <w:t>中国好粮油行动示范工程</w:t>
      </w:r>
      <w:r>
        <w:rPr>
          <w:rFonts w:ascii="仿宋" w:hAnsi="仿宋" w:eastAsia="仿宋"/>
          <w:color w:val="000000"/>
          <w:sz w:val="36"/>
          <w:szCs w:val="36"/>
        </w:rPr>
        <w:t>实施方案》。</w:t>
      </w:r>
      <w:r>
        <w:rPr>
          <w:rFonts w:hint="eastAsia" w:ascii="仿宋" w:hAnsi="仿宋" w:eastAsia="仿宋"/>
          <w:color w:val="000000"/>
          <w:sz w:val="36"/>
          <w:szCs w:val="36"/>
        </w:rPr>
        <w:t>包括：实施目标、主要内容、资金安排、时间进度、预期效果、保障措施、组织领导等内容。</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3.示范县基本概况。包括人口与经济社会发展情况、粮食生产资源条件、规模化经营发展水平、优质粮油发展规模、粮食流通仓储物流设施条件、粮食销售及加工业发展状况。</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4.本地区正在实施的扶持粮油生产和加工发展的相关政策措施。</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5.县人民政府作为推进中国好粮油行动示范工程责任主体的承诺书。</w:t>
      </w:r>
    </w:p>
    <w:p>
      <w:pPr>
        <w:snapToGrid w:val="0"/>
        <w:spacing w:line="580" w:lineRule="exact"/>
        <w:ind w:firstLine="643" w:firstLineChars="200"/>
        <w:rPr>
          <w:rFonts w:ascii="楷体" w:hAnsi="楷体" w:eastAsia="楷体"/>
          <w:b/>
          <w:color w:val="000000"/>
          <w:sz w:val="36"/>
          <w:szCs w:val="36"/>
        </w:rPr>
      </w:pPr>
      <w:r>
        <w:rPr>
          <w:rFonts w:hint="eastAsia" w:ascii="楷体" w:hAnsi="楷体" w:eastAsia="楷体"/>
          <w:b/>
          <w:color w:val="000000"/>
          <w:sz w:val="36"/>
          <w:szCs w:val="36"/>
        </w:rPr>
        <w:t>（二）示范企业申报材料</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1.企业</w:t>
      </w:r>
      <w:r>
        <w:rPr>
          <w:rFonts w:ascii="仿宋" w:hAnsi="仿宋" w:eastAsia="仿宋"/>
          <w:color w:val="000000"/>
          <w:sz w:val="36"/>
          <w:szCs w:val="36"/>
        </w:rPr>
        <w:t>申报</w:t>
      </w:r>
      <w:r>
        <w:rPr>
          <w:rFonts w:hint="eastAsia" w:ascii="仿宋" w:hAnsi="仿宋" w:eastAsia="仿宋"/>
          <w:color w:val="000000"/>
          <w:sz w:val="36"/>
          <w:szCs w:val="36"/>
        </w:rPr>
        <w:t>财政</w:t>
      </w:r>
      <w:r>
        <w:rPr>
          <w:rFonts w:ascii="仿宋" w:hAnsi="仿宋" w:eastAsia="仿宋"/>
          <w:color w:val="000000"/>
          <w:sz w:val="36"/>
          <w:szCs w:val="36"/>
        </w:rPr>
        <w:t>补助资金的正式申报文件</w:t>
      </w:r>
      <w:r>
        <w:rPr>
          <w:rFonts w:hint="eastAsia"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ascii="仿宋" w:hAnsi="仿宋" w:eastAsia="仿宋"/>
          <w:color w:val="000000"/>
          <w:sz w:val="36"/>
          <w:szCs w:val="36"/>
        </w:rPr>
        <w:t>《**</w:t>
      </w:r>
      <w:r>
        <w:rPr>
          <w:rFonts w:hint="eastAsia" w:ascii="仿宋" w:hAnsi="仿宋" w:eastAsia="仿宋"/>
          <w:color w:val="000000"/>
          <w:sz w:val="36"/>
          <w:szCs w:val="36"/>
        </w:rPr>
        <w:t>企业</w:t>
      </w:r>
      <w:r>
        <w:rPr>
          <w:rFonts w:ascii="仿宋" w:hAnsi="仿宋" w:eastAsia="仿宋"/>
          <w:color w:val="000000"/>
          <w:sz w:val="36"/>
          <w:szCs w:val="36"/>
        </w:rPr>
        <w:t>2017年</w:t>
      </w:r>
      <w:r>
        <w:rPr>
          <w:rFonts w:hint="eastAsia" w:ascii="仿宋" w:hAnsi="仿宋" w:eastAsia="仿宋"/>
          <w:color w:val="000000"/>
          <w:sz w:val="36"/>
          <w:szCs w:val="36"/>
        </w:rPr>
        <w:t>中国好粮油行动示范工程</w:t>
      </w:r>
      <w:r>
        <w:rPr>
          <w:rFonts w:ascii="仿宋" w:hAnsi="仿宋" w:eastAsia="仿宋"/>
          <w:color w:val="000000"/>
          <w:sz w:val="36"/>
          <w:szCs w:val="36"/>
        </w:rPr>
        <w:t>实施方案》</w:t>
      </w:r>
      <w:r>
        <w:rPr>
          <w:rFonts w:hint="eastAsia" w:ascii="仿宋" w:hAnsi="仿宋" w:eastAsia="仿宋"/>
          <w:color w:val="000000"/>
          <w:sz w:val="36"/>
          <w:szCs w:val="36"/>
        </w:rPr>
        <w:t>。包括：示范工程实施目标、主要内容、资金安排、时间进度、预期效果、保障措施以及</w:t>
      </w:r>
      <w:r>
        <w:rPr>
          <w:rFonts w:ascii="仿宋" w:hAnsi="仿宋" w:eastAsia="仿宋"/>
          <w:color w:val="000000"/>
          <w:sz w:val="36"/>
          <w:szCs w:val="36"/>
        </w:rPr>
        <w:t>自筹资金</w:t>
      </w:r>
      <w:r>
        <w:rPr>
          <w:rFonts w:hint="eastAsia" w:ascii="仿宋" w:hAnsi="仿宋" w:eastAsia="仿宋"/>
          <w:color w:val="000000"/>
          <w:sz w:val="36"/>
          <w:szCs w:val="36"/>
        </w:rPr>
        <w:t>落实</w:t>
      </w:r>
      <w:r>
        <w:rPr>
          <w:rFonts w:ascii="仿宋" w:hAnsi="仿宋" w:eastAsia="仿宋"/>
          <w:color w:val="000000"/>
          <w:sz w:val="36"/>
          <w:szCs w:val="36"/>
        </w:rPr>
        <w:t>情况。</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3.企业基本情况。包括企业粮油产品生产规模、产品品种、销售收入、利税总额、人员情况、资产结构、</w:t>
      </w:r>
      <w:r>
        <w:rPr>
          <w:rFonts w:ascii="仿宋" w:hAnsi="仿宋" w:eastAsia="仿宋"/>
          <w:color w:val="000000"/>
          <w:sz w:val="36"/>
          <w:szCs w:val="36"/>
        </w:rPr>
        <w:t>工商税务登记等相关证明材料</w:t>
      </w:r>
      <w:r>
        <w:rPr>
          <w:rFonts w:hint="eastAsia" w:ascii="仿宋" w:hAnsi="仿宋" w:eastAsia="仿宋"/>
          <w:color w:val="000000"/>
          <w:sz w:val="36"/>
          <w:szCs w:val="36"/>
        </w:rPr>
        <w:t>。企业</w:t>
      </w:r>
      <w:r>
        <w:rPr>
          <w:rFonts w:ascii="仿宋" w:hAnsi="仿宋" w:eastAsia="仿宋"/>
          <w:color w:val="000000"/>
          <w:sz w:val="36"/>
          <w:szCs w:val="36"/>
        </w:rPr>
        <w:t>2016</w:t>
      </w:r>
      <w:r>
        <w:rPr>
          <w:rFonts w:hint="eastAsia" w:ascii="仿宋" w:hAnsi="仿宋" w:eastAsia="仿宋"/>
          <w:color w:val="000000"/>
          <w:sz w:val="36"/>
          <w:szCs w:val="36"/>
        </w:rPr>
        <w:t>年经会计师事务所审计的财务报告和财务报表</w:t>
      </w:r>
      <w:r>
        <w:rPr>
          <w:rFonts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4.企业原料基地、加工基地、仓储物流设施等情况。</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5.企业质量管理体系建设、品牌建设情况，以及取得的管理认证资格、各类荣誉等。</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6.企业作为推进中国好粮油行动示范工程责任主体的承诺书。</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七</w:t>
      </w:r>
      <w:r>
        <w:rPr>
          <w:rFonts w:ascii="黑体" w:hAnsi="黑体" w:eastAsia="黑体"/>
          <w:sz w:val="36"/>
          <w:szCs w:val="36"/>
        </w:rPr>
        <w:t>、时间要求</w:t>
      </w:r>
    </w:p>
    <w:p>
      <w:pPr>
        <w:snapToGrid w:val="0"/>
        <w:spacing w:line="580" w:lineRule="exact"/>
        <w:ind w:firstLine="640" w:firstLineChars="200"/>
        <w:rPr>
          <w:rFonts w:ascii="仿宋" w:hAnsi="仿宋" w:eastAsia="仿宋"/>
          <w:sz w:val="36"/>
          <w:szCs w:val="36"/>
        </w:rPr>
      </w:pPr>
      <w:r>
        <w:rPr>
          <w:rFonts w:ascii="仿宋" w:hAnsi="仿宋" w:eastAsia="仿宋"/>
          <w:sz w:val="36"/>
          <w:szCs w:val="36"/>
        </w:rPr>
        <w:t>各地必须于</w:t>
      </w:r>
      <w:r>
        <w:rPr>
          <w:rFonts w:hint="eastAsia" w:ascii="仿宋" w:hAnsi="仿宋" w:eastAsia="仿宋"/>
          <w:sz w:val="36"/>
          <w:szCs w:val="36"/>
        </w:rPr>
        <w:t>**月**日</w:t>
      </w:r>
      <w:r>
        <w:rPr>
          <w:rFonts w:ascii="仿宋" w:hAnsi="仿宋" w:eastAsia="仿宋"/>
          <w:sz w:val="36"/>
          <w:szCs w:val="36"/>
        </w:rPr>
        <w:t>前以正式文件形式，将上述资金申报材料按规定程序报</w:t>
      </w:r>
      <w:r>
        <w:rPr>
          <w:rFonts w:hint="eastAsia" w:ascii="仿宋" w:hAnsi="仿宋" w:eastAsia="仿宋"/>
          <w:sz w:val="36"/>
          <w:szCs w:val="36"/>
        </w:rPr>
        <w:t>财政部和国家</w:t>
      </w:r>
      <w:r>
        <w:rPr>
          <w:rFonts w:ascii="仿宋" w:hAnsi="仿宋" w:eastAsia="仿宋"/>
          <w:sz w:val="36"/>
          <w:szCs w:val="36"/>
        </w:rPr>
        <w:t>粮食局，逾期不予受理。每项资金申报材料上报8份，1份上报财政</w:t>
      </w:r>
      <w:r>
        <w:rPr>
          <w:rFonts w:hint="eastAsia" w:ascii="仿宋" w:hAnsi="仿宋" w:eastAsia="仿宋"/>
          <w:sz w:val="36"/>
          <w:szCs w:val="36"/>
        </w:rPr>
        <w:t>部</w:t>
      </w:r>
      <w:r>
        <w:rPr>
          <w:rFonts w:ascii="仿宋" w:hAnsi="仿宋" w:eastAsia="仿宋"/>
          <w:sz w:val="36"/>
          <w:szCs w:val="36"/>
        </w:rPr>
        <w:t>经建</w:t>
      </w:r>
      <w:r>
        <w:rPr>
          <w:rFonts w:hint="eastAsia" w:ascii="仿宋" w:hAnsi="仿宋" w:eastAsia="仿宋"/>
          <w:sz w:val="36"/>
          <w:szCs w:val="36"/>
        </w:rPr>
        <w:t>司</w:t>
      </w:r>
      <w:r>
        <w:rPr>
          <w:rFonts w:ascii="仿宋" w:hAnsi="仿宋" w:eastAsia="仿宋"/>
          <w:sz w:val="36"/>
          <w:szCs w:val="36"/>
        </w:rPr>
        <w:t>，7份上报</w:t>
      </w:r>
      <w:r>
        <w:rPr>
          <w:rFonts w:hint="eastAsia" w:ascii="仿宋" w:hAnsi="仿宋" w:eastAsia="仿宋"/>
          <w:sz w:val="36"/>
          <w:szCs w:val="36"/>
        </w:rPr>
        <w:t>国家</w:t>
      </w:r>
      <w:r>
        <w:rPr>
          <w:rFonts w:ascii="仿宋" w:hAnsi="仿宋" w:eastAsia="仿宋"/>
          <w:sz w:val="36"/>
          <w:szCs w:val="36"/>
        </w:rPr>
        <w:t>粮食局</w:t>
      </w:r>
      <w:r>
        <w:rPr>
          <w:rFonts w:hint="eastAsia" w:ascii="仿宋" w:hAnsi="仿宋" w:eastAsia="仿宋"/>
          <w:sz w:val="36"/>
          <w:szCs w:val="36"/>
        </w:rPr>
        <w:t>科学研究院</w:t>
      </w:r>
      <w:r>
        <w:rPr>
          <w:rFonts w:ascii="仿宋" w:hAnsi="仿宋" w:eastAsia="仿宋"/>
          <w:sz w:val="36"/>
          <w:szCs w:val="36"/>
        </w:rPr>
        <w:t>。</w:t>
      </w:r>
    </w:p>
    <w:p>
      <w:pPr>
        <w:snapToGrid w:val="0"/>
        <w:spacing w:line="580" w:lineRule="exact"/>
        <w:rPr>
          <w:rFonts w:ascii="仿宋" w:hAnsi="仿宋" w:eastAsia="仿宋"/>
          <w:sz w:val="36"/>
          <w:szCs w:val="36"/>
        </w:rPr>
      </w:pPr>
    </w:p>
    <w:p>
      <w:pPr>
        <w:snapToGrid w:val="0"/>
        <w:spacing w:line="580" w:lineRule="exact"/>
        <w:ind w:firstLine="630"/>
        <w:rPr>
          <w:rFonts w:hint="eastAsia" w:ascii="仿宋" w:hAnsi="仿宋" w:eastAsia="仿宋"/>
          <w:sz w:val="36"/>
          <w:szCs w:val="36"/>
        </w:rPr>
      </w:pPr>
      <w:r>
        <w:rPr>
          <w:rFonts w:hint="eastAsia" w:ascii="仿宋" w:hAnsi="仿宋" w:eastAsia="仿宋"/>
          <w:sz w:val="36"/>
          <w:szCs w:val="36"/>
        </w:rPr>
        <w:t>联系人：钟昱</w:t>
      </w:r>
    </w:p>
    <w:p>
      <w:pPr>
        <w:snapToGrid w:val="0"/>
        <w:spacing w:line="580" w:lineRule="exact"/>
        <w:ind w:firstLine="630"/>
        <w:rPr>
          <w:rFonts w:ascii="仿宋" w:hAnsi="仿宋" w:eastAsia="仿宋"/>
          <w:sz w:val="36"/>
          <w:szCs w:val="36"/>
        </w:rPr>
      </w:pPr>
      <w:r>
        <w:rPr>
          <w:rFonts w:hint="eastAsia" w:ascii="仿宋" w:hAnsi="仿宋" w:eastAsia="仿宋"/>
          <w:sz w:val="36"/>
          <w:szCs w:val="36"/>
        </w:rPr>
        <w:t>联系电话：010-58523641</w:t>
      </w: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clear" w:pos="4153"/>
      </w:tabs>
      <w:jc w:val="center"/>
    </w:pPr>
    <w:r>
      <w:rPr>
        <w:rFonts w:ascii="Times New Roman" w:hAnsi="Times New Roman" w:eastAsia="仿宋_GB2312"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4468"/>
    <w:rsid w:val="00000333"/>
    <w:rsid w:val="00002271"/>
    <w:rsid w:val="000028C8"/>
    <w:rsid w:val="00003EDF"/>
    <w:rsid w:val="00007E88"/>
    <w:rsid w:val="00010A69"/>
    <w:rsid w:val="00014671"/>
    <w:rsid w:val="0001514D"/>
    <w:rsid w:val="000175CD"/>
    <w:rsid w:val="00017C35"/>
    <w:rsid w:val="00022EEA"/>
    <w:rsid w:val="00023FE7"/>
    <w:rsid w:val="000248A4"/>
    <w:rsid w:val="0002588B"/>
    <w:rsid w:val="00025B75"/>
    <w:rsid w:val="00026E3E"/>
    <w:rsid w:val="000404DD"/>
    <w:rsid w:val="0004058A"/>
    <w:rsid w:val="00040CA0"/>
    <w:rsid w:val="00040EA7"/>
    <w:rsid w:val="00042174"/>
    <w:rsid w:val="000465EE"/>
    <w:rsid w:val="00060D6E"/>
    <w:rsid w:val="000716B6"/>
    <w:rsid w:val="0007201A"/>
    <w:rsid w:val="0007294B"/>
    <w:rsid w:val="000748DC"/>
    <w:rsid w:val="00076654"/>
    <w:rsid w:val="00077162"/>
    <w:rsid w:val="00080485"/>
    <w:rsid w:val="000878CD"/>
    <w:rsid w:val="00090F23"/>
    <w:rsid w:val="00093233"/>
    <w:rsid w:val="000A55DF"/>
    <w:rsid w:val="000B073E"/>
    <w:rsid w:val="000B0BE1"/>
    <w:rsid w:val="000B1A6A"/>
    <w:rsid w:val="000B359B"/>
    <w:rsid w:val="000B3DB9"/>
    <w:rsid w:val="000C1261"/>
    <w:rsid w:val="000C5FC9"/>
    <w:rsid w:val="000C6A80"/>
    <w:rsid w:val="000C7790"/>
    <w:rsid w:val="000D0A64"/>
    <w:rsid w:val="000D23AE"/>
    <w:rsid w:val="000D2D2B"/>
    <w:rsid w:val="000D4123"/>
    <w:rsid w:val="000D480D"/>
    <w:rsid w:val="000D4D61"/>
    <w:rsid w:val="000D6B4E"/>
    <w:rsid w:val="000D7DF4"/>
    <w:rsid w:val="000E0FD6"/>
    <w:rsid w:val="000F6926"/>
    <w:rsid w:val="00111B01"/>
    <w:rsid w:val="00111CEB"/>
    <w:rsid w:val="00114B62"/>
    <w:rsid w:val="00122DFD"/>
    <w:rsid w:val="00131DB4"/>
    <w:rsid w:val="0013398D"/>
    <w:rsid w:val="00136714"/>
    <w:rsid w:val="0013688B"/>
    <w:rsid w:val="00143EC0"/>
    <w:rsid w:val="0015090E"/>
    <w:rsid w:val="00150AFF"/>
    <w:rsid w:val="001537BB"/>
    <w:rsid w:val="0015441B"/>
    <w:rsid w:val="0015746B"/>
    <w:rsid w:val="00160C86"/>
    <w:rsid w:val="00164D8C"/>
    <w:rsid w:val="00167E49"/>
    <w:rsid w:val="001709F0"/>
    <w:rsid w:val="001753BE"/>
    <w:rsid w:val="00175D02"/>
    <w:rsid w:val="00180445"/>
    <w:rsid w:val="00182BB8"/>
    <w:rsid w:val="00183101"/>
    <w:rsid w:val="00183A60"/>
    <w:rsid w:val="00193CAA"/>
    <w:rsid w:val="0019494F"/>
    <w:rsid w:val="001A3B3F"/>
    <w:rsid w:val="001A701E"/>
    <w:rsid w:val="001A7D92"/>
    <w:rsid w:val="001B3F0D"/>
    <w:rsid w:val="001B44EF"/>
    <w:rsid w:val="001C0DBA"/>
    <w:rsid w:val="001C2BC0"/>
    <w:rsid w:val="001D24D6"/>
    <w:rsid w:val="001D2CA3"/>
    <w:rsid w:val="001E112C"/>
    <w:rsid w:val="001E2B6D"/>
    <w:rsid w:val="001E3C77"/>
    <w:rsid w:val="001E52E5"/>
    <w:rsid w:val="001F389A"/>
    <w:rsid w:val="001F4032"/>
    <w:rsid w:val="001F459E"/>
    <w:rsid w:val="001F7082"/>
    <w:rsid w:val="002034C2"/>
    <w:rsid w:val="00204322"/>
    <w:rsid w:val="00204528"/>
    <w:rsid w:val="00206564"/>
    <w:rsid w:val="00214E73"/>
    <w:rsid w:val="002241E1"/>
    <w:rsid w:val="00225DD7"/>
    <w:rsid w:val="00231CF3"/>
    <w:rsid w:val="002349A2"/>
    <w:rsid w:val="002375E5"/>
    <w:rsid w:val="002454B2"/>
    <w:rsid w:val="00245DE6"/>
    <w:rsid w:val="00246301"/>
    <w:rsid w:val="00257116"/>
    <w:rsid w:val="00257CE2"/>
    <w:rsid w:val="0026080B"/>
    <w:rsid w:val="00261D6F"/>
    <w:rsid w:val="002631A9"/>
    <w:rsid w:val="0027055A"/>
    <w:rsid w:val="00270EB2"/>
    <w:rsid w:val="002712B4"/>
    <w:rsid w:val="00271E2E"/>
    <w:rsid w:val="00273A20"/>
    <w:rsid w:val="0027535F"/>
    <w:rsid w:val="0027632A"/>
    <w:rsid w:val="00282869"/>
    <w:rsid w:val="0028395D"/>
    <w:rsid w:val="00291350"/>
    <w:rsid w:val="002953C3"/>
    <w:rsid w:val="002A1979"/>
    <w:rsid w:val="002A33E8"/>
    <w:rsid w:val="002A62A7"/>
    <w:rsid w:val="002A6E37"/>
    <w:rsid w:val="002B1EA4"/>
    <w:rsid w:val="002B59DE"/>
    <w:rsid w:val="002C0ECA"/>
    <w:rsid w:val="002D0DE6"/>
    <w:rsid w:val="002D4C06"/>
    <w:rsid w:val="002D64B5"/>
    <w:rsid w:val="002E3177"/>
    <w:rsid w:val="002E709A"/>
    <w:rsid w:val="002F1616"/>
    <w:rsid w:val="002F2B8B"/>
    <w:rsid w:val="002F3E55"/>
    <w:rsid w:val="002F5DC1"/>
    <w:rsid w:val="002F6C9E"/>
    <w:rsid w:val="002F7305"/>
    <w:rsid w:val="00300F68"/>
    <w:rsid w:val="00301C89"/>
    <w:rsid w:val="003023A8"/>
    <w:rsid w:val="00304284"/>
    <w:rsid w:val="00306034"/>
    <w:rsid w:val="0030715A"/>
    <w:rsid w:val="00312B7B"/>
    <w:rsid w:val="00315228"/>
    <w:rsid w:val="00317B48"/>
    <w:rsid w:val="003202FF"/>
    <w:rsid w:val="00336557"/>
    <w:rsid w:val="00343558"/>
    <w:rsid w:val="00343AE0"/>
    <w:rsid w:val="00343E03"/>
    <w:rsid w:val="003458AF"/>
    <w:rsid w:val="00357A28"/>
    <w:rsid w:val="003710CE"/>
    <w:rsid w:val="0038470E"/>
    <w:rsid w:val="003850D6"/>
    <w:rsid w:val="0038681F"/>
    <w:rsid w:val="00392AB8"/>
    <w:rsid w:val="003A5331"/>
    <w:rsid w:val="003A5D40"/>
    <w:rsid w:val="003A7704"/>
    <w:rsid w:val="003B44D6"/>
    <w:rsid w:val="003B4923"/>
    <w:rsid w:val="003B5717"/>
    <w:rsid w:val="003B62C2"/>
    <w:rsid w:val="003C357D"/>
    <w:rsid w:val="003C3B7F"/>
    <w:rsid w:val="003C5F46"/>
    <w:rsid w:val="003D1B2F"/>
    <w:rsid w:val="003E6FDE"/>
    <w:rsid w:val="003F30C9"/>
    <w:rsid w:val="003F7FA2"/>
    <w:rsid w:val="00415D61"/>
    <w:rsid w:val="00415ED1"/>
    <w:rsid w:val="00424B9E"/>
    <w:rsid w:val="004251F0"/>
    <w:rsid w:val="0042704D"/>
    <w:rsid w:val="00432861"/>
    <w:rsid w:val="00432EB6"/>
    <w:rsid w:val="00432FD7"/>
    <w:rsid w:val="00437518"/>
    <w:rsid w:val="00443172"/>
    <w:rsid w:val="0044357D"/>
    <w:rsid w:val="00452552"/>
    <w:rsid w:val="004546C8"/>
    <w:rsid w:val="0045594B"/>
    <w:rsid w:val="00463794"/>
    <w:rsid w:val="00465A0A"/>
    <w:rsid w:val="00466EB8"/>
    <w:rsid w:val="00467217"/>
    <w:rsid w:val="004762EA"/>
    <w:rsid w:val="0048510B"/>
    <w:rsid w:val="00491090"/>
    <w:rsid w:val="004928FC"/>
    <w:rsid w:val="00494873"/>
    <w:rsid w:val="00497556"/>
    <w:rsid w:val="00497F80"/>
    <w:rsid w:val="004A0963"/>
    <w:rsid w:val="004C0321"/>
    <w:rsid w:val="004C25C3"/>
    <w:rsid w:val="004C4094"/>
    <w:rsid w:val="004C7EED"/>
    <w:rsid w:val="004D2B37"/>
    <w:rsid w:val="004D2B58"/>
    <w:rsid w:val="004D6EED"/>
    <w:rsid w:val="004E1792"/>
    <w:rsid w:val="004E3736"/>
    <w:rsid w:val="004E5133"/>
    <w:rsid w:val="004E781E"/>
    <w:rsid w:val="004F2905"/>
    <w:rsid w:val="004F73AC"/>
    <w:rsid w:val="004F73D7"/>
    <w:rsid w:val="00503C9E"/>
    <w:rsid w:val="0050466B"/>
    <w:rsid w:val="00513783"/>
    <w:rsid w:val="0051643C"/>
    <w:rsid w:val="00517CA2"/>
    <w:rsid w:val="00517DAF"/>
    <w:rsid w:val="00520243"/>
    <w:rsid w:val="00521C85"/>
    <w:rsid w:val="00522F23"/>
    <w:rsid w:val="00524580"/>
    <w:rsid w:val="00525924"/>
    <w:rsid w:val="0052706F"/>
    <w:rsid w:val="005308A8"/>
    <w:rsid w:val="0053299C"/>
    <w:rsid w:val="00533460"/>
    <w:rsid w:val="00533D0F"/>
    <w:rsid w:val="00543086"/>
    <w:rsid w:val="005434DA"/>
    <w:rsid w:val="0054408E"/>
    <w:rsid w:val="00544669"/>
    <w:rsid w:val="0055273C"/>
    <w:rsid w:val="005545E1"/>
    <w:rsid w:val="00555E9C"/>
    <w:rsid w:val="00556006"/>
    <w:rsid w:val="0055732A"/>
    <w:rsid w:val="00561AC2"/>
    <w:rsid w:val="00561C6C"/>
    <w:rsid w:val="00561DF9"/>
    <w:rsid w:val="0056651B"/>
    <w:rsid w:val="00567F52"/>
    <w:rsid w:val="00572B7A"/>
    <w:rsid w:val="00573771"/>
    <w:rsid w:val="00576B68"/>
    <w:rsid w:val="005816A6"/>
    <w:rsid w:val="005843F2"/>
    <w:rsid w:val="00585ACF"/>
    <w:rsid w:val="005917EB"/>
    <w:rsid w:val="00591AF2"/>
    <w:rsid w:val="00593850"/>
    <w:rsid w:val="005A0A8E"/>
    <w:rsid w:val="005A1EFA"/>
    <w:rsid w:val="005A2690"/>
    <w:rsid w:val="005A366E"/>
    <w:rsid w:val="005A58A6"/>
    <w:rsid w:val="005A5BD3"/>
    <w:rsid w:val="005A71AB"/>
    <w:rsid w:val="005B0EA8"/>
    <w:rsid w:val="005B1FE0"/>
    <w:rsid w:val="005B23D9"/>
    <w:rsid w:val="005D1DD2"/>
    <w:rsid w:val="005D299A"/>
    <w:rsid w:val="005D406E"/>
    <w:rsid w:val="005D634F"/>
    <w:rsid w:val="005D7598"/>
    <w:rsid w:val="005E0681"/>
    <w:rsid w:val="005E1B7E"/>
    <w:rsid w:val="005E372C"/>
    <w:rsid w:val="005F5AB4"/>
    <w:rsid w:val="005F65B8"/>
    <w:rsid w:val="006140D2"/>
    <w:rsid w:val="006216C5"/>
    <w:rsid w:val="006263E7"/>
    <w:rsid w:val="006366D5"/>
    <w:rsid w:val="006405EB"/>
    <w:rsid w:val="006605FD"/>
    <w:rsid w:val="0066104F"/>
    <w:rsid w:val="00662D05"/>
    <w:rsid w:val="00672DED"/>
    <w:rsid w:val="006753AC"/>
    <w:rsid w:val="0067727C"/>
    <w:rsid w:val="00680D7F"/>
    <w:rsid w:val="0068409D"/>
    <w:rsid w:val="00685940"/>
    <w:rsid w:val="00685D6E"/>
    <w:rsid w:val="006862AB"/>
    <w:rsid w:val="006A1D2A"/>
    <w:rsid w:val="006A4744"/>
    <w:rsid w:val="006B3906"/>
    <w:rsid w:val="006B4BC0"/>
    <w:rsid w:val="006B6AB6"/>
    <w:rsid w:val="006C138A"/>
    <w:rsid w:val="006C2B49"/>
    <w:rsid w:val="006C4907"/>
    <w:rsid w:val="006C6960"/>
    <w:rsid w:val="006C6FBE"/>
    <w:rsid w:val="006C71C9"/>
    <w:rsid w:val="006D0584"/>
    <w:rsid w:val="006D67D3"/>
    <w:rsid w:val="006E2CD4"/>
    <w:rsid w:val="006E725A"/>
    <w:rsid w:val="006E7942"/>
    <w:rsid w:val="006F3284"/>
    <w:rsid w:val="006F5F77"/>
    <w:rsid w:val="006F71CB"/>
    <w:rsid w:val="006F7DD4"/>
    <w:rsid w:val="00702749"/>
    <w:rsid w:val="0070770E"/>
    <w:rsid w:val="00711704"/>
    <w:rsid w:val="00713F0D"/>
    <w:rsid w:val="00717C78"/>
    <w:rsid w:val="00722BE3"/>
    <w:rsid w:val="00734579"/>
    <w:rsid w:val="007354F6"/>
    <w:rsid w:val="007424CE"/>
    <w:rsid w:val="00756EF9"/>
    <w:rsid w:val="007601B2"/>
    <w:rsid w:val="00766F9F"/>
    <w:rsid w:val="00771ADC"/>
    <w:rsid w:val="007730C5"/>
    <w:rsid w:val="007737A5"/>
    <w:rsid w:val="00782600"/>
    <w:rsid w:val="00786DB2"/>
    <w:rsid w:val="007915FB"/>
    <w:rsid w:val="007B0180"/>
    <w:rsid w:val="007B489B"/>
    <w:rsid w:val="007B50C3"/>
    <w:rsid w:val="007B5172"/>
    <w:rsid w:val="007B6883"/>
    <w:rsid w:val="007C26BC"/>
    <w:rsid w:val="007C2D32"/>
    <w:rsid w:val="007C35FF"/>
    <w:rsid w:val="007C6149"/>
    <w:rsid w:val="007C66A2"/>
    <w:rsid w:val="007C6FCB"/>
    <w:rsid w:val="007D1DB4"/>
    <w:rsid w:val="007D34B9"/>
    <w:rsid w:val="007D7BC9"/>
    <w:rsid w:val="007E1000"/>
    <w:rsid w:val="007E2747"/>
    <w:rsid w:val="007E2FA5"/>
    <w:rsid w:val="007E3E08"/>
    <w:rsid w:val="007E6DA5"/>
    <w:rsid w:val="007F18AE"/>
    <w:rsid w:val="007F4195"/>
    <w:rsid w:val="00800CFC"/>
    <w:rsid w:val="00801168"/>
    <w:rsid w:val="00801AEE"/>
    <w:rsid w:val="00802E43"/>
    <w:rsid w:val="00806F34"/>
    <w:rsid w:val="00807387"/>
    <w:rsid w:val="00813778"/>
    <w:rsid w:val="00816361"/>
    <w:rsid w:val="00817F40"/>
    <w:rsid w:val="008228E9"/>
    <w:rsid w:val="008343AE"/>
    <w:rsid w:val="00834772"/>
    <w:rsid w:val="00841167"/>
    <w:rsid w:val="00841FA5"/>
    <w:rsid w:val="00841FBC"/>
    <w:rsid w:val="008441F9"/>
    <w:rsid w:val="0084426E"/>
    <w:rsid w:val="0084452B"/>
    <w:rsid w:val="008471C1"/>
    <w:rsid w:val="00847BEB"/>
    <w:rsid w:val="008501FD"/>
    <w:rsid w:val="00856062"/>
    <w:rsid w:val="00856F22"/>
    <w:rsid w:val="008620BD"/>
    <w:rsid w:val="00866B18"/>
    <w:rsid w:val="008670B5"/>
    <w:rsid w:val="00872486"/>
    <w:rsid w:val="00872CEC"/>
    <w:rsid w:val="0087707D"/>
    <w:rsid w:val="008770E5"/>
    <w:rsid w:val="008775F7"/>
    <w:rsid w:val="00881285"/>
    <w:rsid w:val="008922C0"/>
    <w:rsid w:val="00893D0A"/>
    <w:rsid w:val="00894A32"/>
    <w:rsid w:val="00894E96"/>
    <w:rsid w:val="008A609F"/>
    <w:rsid w:val="008A69FB"/>
    <w:rsid w:val="008C0C35"/>
    <w:rsid w:val="008C1210"/>
    <w:rsid w:val="008C419E"/>
    <w:rsid w:val="008C4468"/>
    <w:rsid w:val="008D2B8B"/>
    <w:rsid w:val="008D31E1"/>
    <w:rsid w:val="008D4468"/>
    <w:rsid w:val="008E5408"/>
    <w:rsid w:val="008F2092"/>
    <w:rsid w:val="008F2D3C"/>
    <w:rsid w:val="009006D3"/>
    <w:rsid w:val="00901F9F"/>
    <w:rsid w:val="00905905"/>
    <w:rsid w:val="00910F27"/>
    <w:rsid w:val="009147EA"/>
    <w:rsid w:val="00915FAD"/>
    <w:rsid w:val="00917C7D"/>
    <w:rsid w:val="00934B4E"/>
    <w:rsid w:val="00944551"/>
    <w:rsid w:val="0094611B"/>
    <w:rsid w:val="0094664C"/>
    <w:rsid w:val="00953040"/>
    <w:rsid w:val="00953741"/>
    <w:rsid w:val="00960228"/>
    <w:rsid w:val="009607FD"/>
    <w:rsid w:val="00960B42"/>
    <w:rsid w:val="00966DB7"/>
    <w:rsid w:val="0097196F"/>
    <w:rsid w:val="009757F5"/>
    <w:rsid w:val="00982BBC"/>
    <w:rsid w:val="00987132"/>
    <w:rsid w:val="0099208A"/>
    <w:rsid w:val="009A3564"/>
    <w:rsid w:val="009A5415"/>
    <w:rsid w:val="009B20D8"/>
    <w:rsid w:val="009B4016"/>
    <w:rsid w:val="009B69D0"/>
    <w:rsid w:val="009B6B84"/>
    <w:rsid w:val="009C1752"/>
    <w:rsid w:val="009C2652"/>
    <w:rsid w:val="009C53F9"/>
    <w:rsid w:val="009D4C5A"/>
    <w:rsid w:val="009E79E6"/>
    <w:rsid w:val="009F2701"/>
    <w:rsid w:val="009F43EF"/>
    <w:rsid w:val="009F449A"/>
    <w:rsid w:val="00A01C94"/>
    <w:rsid w:val="00A047F8"/>
    <w:rsid w:val="00A04A51"/>
    <w:rsid w:val="00A06E44"/>
    <w:rsid w:val="00A1601A"/>
    <w:rsid w:val="00A16365"/>
    <w:rsid w:val="00A20D4B"/>
    <w:rsid w:val="00A22FC1"/>
    <w:rsid w:val="00A378E2"/>
    <w:rsid w:val="00A403E6"/>
    <w:rsid w:val="00A41026"/>
    <w:rsid w:val="00A436D0"/>
    <w:rsid w:val="00A43AF0"/>
    <w:rsid w:val="00A4498A"/>
    <w:rsid w:val="00A46FE6"/>
    <w:rsid w:val="00A47902"/>
    <w:rsid w:val="00A51210"/>
    <w:rsid w:val="00A52107"/>
    <w:rsid w:val="00A550FD"/>
    <w:rsid w:val="00A55C9E"/>
    <w:rsid w:val="00A55E40"/>
    <w:rsid w:val="00A56777"/>
    <w:rsid w:val="00A60B10"/>
    <w:rsid w:val="00A65BF1"/>
    <w:rsid w:val="00A7242B"/>
    <w:rsid w:val="00A7298C"/>
    <w:rsid w:val="00A75B1B"/>
    <w:rsid w:val="00A775B6"/>
    <w:rsid w:val="00A91CE2"/>
    <w:rsid w:val="00A958E4"/>
    <w:rsid w:val="00A96357"/>
    <w:rsid w:val="00A96725"/>
    <w:rsid w:val="00AA175B"/>
    <w:rsid w:val="00AA2E5B"/>
    <w:rsid w:val="00AA47CA"/>
    <w:rsid w:val="00AB4247"/>
    <w:rsid w:val="00AB654F"/>
    <w:rsid w:val="00AB6A57"/>
    <w:rsid w:val="00AC2F9F"/>
    <w:rsid w:val="00AC3E12"/>
    <w:rsid w:val="00AC483A"/>
    <w:rsid w:val="00AC4F01"/>
    <w:rsid w:val="00AC73A1"/>
    <w:rsid w:val="00AD0B44"/>
    <w:rsid w:val="00AD22A8"/>
    <w:rsid w:val="00AD2502"/>
    <w:rsid w:val="00AE18B5"/>
    <w:rsid w:val="00AE261B"/>
    <w:rsid w:val="00AE4B6B"/>
    <w:rsid w:val="00AF1078"/>
    <w:rsid w:val="00B0591F"/>
    <w:rsid w:val="00B0711B"/>
    <w:rsid w:val="00B07302"/>
    <w:rsid w:val="00B11411"/>
    <w:rsid w:val="00B144F6"/>
    <w:rsid w:val="00B15631"/>
    <w:rsid w:val="00B23277"/>
    <w:rsid w:val="00B26123"/>
    <w:rsid w:val="00B27019"/>
    <w:rsid w:val="00B35AD7"/>
    <w:rsid w:val="00B40F09"/>
    <w:rsid w:val="00B42461"/>
    <w:rsid w:val="00B46A2B"/>
    <w:rsid w:val="00B523CB"/>
    <w:rsid w:val="00B56746"/>
    <w:rsid w:val="00B57D4C"/>
    <w:rsid w:val="00B62BE2"/>
    <w:rsid w:val="00B705D8"/>
    <w:rsid w:val="00B72DC9"/>
    <w:rsid w:val="00B74492"/>
    <w:rsid w:val="00B774F3"/>
    <w:rsid w:val="00B77B30"/>
    <w:rsid w:val="00B77E6F"/>
    <w:rsid w:val="00B80BF6"/>
    <w:rsid w:val="00B95946"/>
    <w:rsid w:val="00BA3DC1"/>
    <w:rsid w:val="00BA4425"/>
    <w:rsid w:val="00BA484B"/>
    <w:rsid w:val="00BA5DCE"/>
    <w:rsid w:val="00BB081E"/>
    <w:rsid w:val="00BB084F"/>
    <w:rsid w:val="00BB60F8"/>
    <w:rsid w:val="00BB70B8"/>
    <w:rsid w:val="00BC218A"/>
    <w:rsid w:val="00BC2595"/>
    <w:rsid w:val="00BC7B6D"/>
    <w:rsid w:val="00BD1E7E"/>
    <w:rsid w:val="00BD3124"/>
    <w:rsid w:val="00BD59D9"/>
    <w:rsid w:val="00BD6517"/>
    <w:rsid w:val="00BE22DB"/>
    <w:rsid w:val="00BE66C3"/>
    <w:rsid w:val="00BF3302"/>
    <w:rsid w:val="00BF6E43"/>
    <w:rsid w:val="00BF7909"/>
    <w:rsid w:val="00BF7A9B"/>
    <w:rsid w:val="00BF7BE5"/>
    <w:rsid w:val="00C02202"/>
    <w:rsid w:val="00C0672F"/>
    <w:rsid w:val="00C31E1B"/>
    <w:rsid w:val="00C32041"/>
    <w:rsid w:val="00C32CF7"/>
    <w:rsid w:val="00C355D9"/>
    <w:rsid w:val="00C41A8A"/>
    <w:rsid w:val="00C45D0D"/>
    <w:rsid w:val="00C55B99"/>
    <w:rsid w:val="00C6166C"/>
    <w:rsid w:val="00C666D0"/>
    <w:rsid w:val="00C67A7B"/>
    <w:rsid w:val="00C7015A"/>
    <w:rsid w:val="00C7289E"/>
    <w:rsid w:val="00C7380A"/>
    <w:rsid w:val="00C7517C"/>
    <w:rsid w:val="00C77F7D"/>
    <w:rsid w:val="00C85A5D"/>
    <w:rsid w:val="00C945DE"/>
    <w:rsid w:val="00C94E3A"/>
    <w:rsid w:val="00C963E1"/>
    <w:rsid w:val="00C977C7"/>
    <w:rsid w:val="00CA0336"/>
    <w:rsid w:val="00CA4067"/>
    <w:rsid w:val="00CB24F1"/>
    <w:rsid w:val="00CB648B"/>
    <w:rsid w:val="00CC1C91"/>
    <w:rsid w:val="00CD060C"/>
    <w:rsid w:val="00CD1AE5"/>
    <w:rsid w:val="00CE54F8"/>
    <w:rsid w:val="00CF082D"/>
    <w:rsid w:val="00CF2A27"/>
    <w:rsid w:val="00CF4AD8"/>
    <w:rsid w:val="00CF637E"/>
    <w:rsid w:val="00D01967"/>
    <w:rsid w:val="00D01DAC"/>
    <w:rsid w:val="00D0257B"/>
    <w:rsid w:val="00D07DDF"/>
    <w:rsid w:val="00D11E54"/>
    <w:rsid w:val="00D171F5"/>
    <w:rsid w:val="00D21683"/>
    <w:rsid w:val="00D22D1F"/>
    <w:rsid w:val="00D25144"/>
    <w:rsid w:val="00D32207"/>
    <w:rsid w:val="00D40AF5"/>
    <w:rsid w:val="00D52604"/>
    <w:rsid w:val="00D542EC"/>
    <w:rsid w:val="00D54630"/>
    <w:rsid w:val="00D54A95"/>
    <w:rsid w:val="00D550CB"/>
    <w:rsid w:val="00D64627"/>
    <w:rsid w:val="00D66572"/>
    <w:rsid w:val="00D67AED"/>
    <w:rsid w:val="00D72EF8"/>
    <w:rsid w:val="00D73ACA"/>
    <w:rsid w:val="00D7545D"/>
    <w:rsid w:val="00D84346"/>
    <w:rsid w:val="00D91FB9"/>
    <w:rsid w:val="00DA27A4"/>
    <w:rsid w:val="00DA3C98"/>
    <w:rsid w:val="00DB1C42"/>
    <w:rsid w:val="00DB2C5B"/>
    <w:rsid w:val="00DB2CC7"/>
    <w:rsid w:val="00DB4B8E"/>
    <w:rsid w:val="00DC1D36"/>
    <w:rsid w:val="00DC354F"/>
    <w:rsid w:val="00DC361D"/>
    <w:rsid w:val="00DC639D"/>
    <w:rsid w:val="00DC6D8E"/>
    <w:rsid w:val="00DD3A39"/>
    <w:rsid w:val="00DD7072"/>
    <w:rsid w:val="00DD7252"/>
    <w:rsid w:val="00DD7383"/>
    <w:rsid w:val="00DD74F2"/>
    <w:rsid w:val="00DE6920"/>
    <w:rsid w:val="00DF7ED8"/>
    <w:rsid w:val="00E01695"/>
    <w:rsid w:val="00E0262D"/>
    <w:rsid w:val="00E02745"/>
    <w:rsid w:val="00E03E78"/>
    <w:rsid w:val="00E13124"/>
    <w:rsid w:val="00E14266"/>
    <w:rsid w:val="00E1598B"/>
    <w:rsid w:val="00E1735A"/>
    <w:rsid w:val="00E179AC"/>
    <w:rsid w:val="00E20A0C"/>
    <w:rsid w:val="00E21D90"/>
    <w:rsid w:val="00E22B67"/>
    <w:rsid w:val="00E30D02"/>
    <w:rsid w:val="00E3379C"/>
    <w:rsid w:val="00E33C98"/>
    <w:rsid w:val="00E40B7F"/>
    <w:rsid w:val="00E45901"/>
    <w:rsid w:val="00E54A7D"/>
    <w:rsid w:val="00E54BD8"/>
    <w:rsid w:val="00E61CE9"/>
    <w:rsid w:val="00E61D08"/>
    <w:rsid w:val="00E71EEF"/>
    <w:rsid w:val="00E74D54"/>
    <w:rsid w:val="00E75586"/>
    <w:rsid w:val="00E76789"/>
    <w:rsid w:val="00E82192"/>
    <w:rsid w:val="00E85C31"/>
    <w:rsid w:val="00E978C3"/>
    <w:rsid w:val="00E97A6F"/>
    <w:rsid w:val="00EA07B3"/>
    <w:rsid w:val="00EA5C6F"/>
    <w:rsid w:val="00EB0429"/>
    <w:rsid w:val="00EB213D"/>
    <w:rsid w:val="00EB6853"/>
    <w:rsid w:val="00EB7CED"/>
    <w:rsid w:val="00EC0827"/>
    <w:rsid w:val="00EC4700"/>
    <w:rsid w:val="00EC4C1A"/>
    <w:rsid w:val="00EC56F2"/>
    <w:rsid w:val="00ED09D1"/>
    <w:rsid w:val="00ED555C"/>
    <w:rsid w:val="00EE14B7"/>
    <w:rsid w:val="00EE68BD"/>
    <w:rsid w:val="00EF06DA"/>
    <w:rsid w:val="00EF35C4"/>
    <w:rsid w:val="00EF46CE"/>
    <w:rsid w:val="00F01C01"/>
    <w:rsid w:val="00F01C71"/>
    <w:rsid w:val="00F170EA"/>
    <w:rsid w:val="00F20E0A"/>
    <w:rsid w:val="00F2466C"/>
    <w:rsid w:val="00F2573F"/>
    <w:rsid w:val="00F25D8E"/>
    <w:rsid w:val="00F26B5A"/>
    <w:rsid w:val="00F279C1"/>
    <w:rsid w:val="00F312C5"/>
    <w:rsid w:val="00F37BAF"/>
    <w:rsid w:val="00F43B48"/>
    <w:rsid w:val="00F5186F"/>
    <w:rsid w:val="00F52757"/>
    <w:rsid w:val="00F55C45"/>
    <w:rsid w:val="00F62987"/>
    <w:rsid w:val="00F66447"/>
    <w:rsid w:val="00F71785"/>
    <w:rsid w:val="00F732EE"/>
    <w:rsid w:val="00F74E3A"/>
    <w:rsid w:val="00F77884"/>
    <w:rsid w:val="00F82761"/>
    <w:rsid w:val="00F85607"/>
    <w:rsid w:val="00F877B9"/>
    <w:rsid w:val="00F930D4"/>
    <w:rsid w:val="00F943C2"/>
    <w:rsid w:val="00F95E76"/>
    <w:rsid w:val="00FA1D4D"/>
    <w:rsid w:val="00FA21D2"/>
    <w:rsid w:val="00FA33F1"/>
    <w:rsid w:val="00FA5D41"/>
    <w:rsid w:val="00FB11D5"/>
    <w:rsid w:val="00FB24A9"/>
    <w:rsid w:val="00FB293C"/>
    <w:rsid w:val="00FB58B4"/>
    <w:rsid w:val="00FC1FDD"/>
    <w:rsid w:val="00FC6184"/>
    <w:rsid w:val="00FC660D"/>
    <w:rsid w:val="00FC6CBE"/>
    <w:rsid w:val="00FD0852"/>
    <w:rsid w:val="00FD22B4"/>
    <w:rsid w:val="00FD3432"/>
    <w:rsid w:val="00FD479F"/>
    <w:rsid w:val="00FD5D3C"/>
    <w:rsid w:val="00FE2C50"/>
    <w:rsid w:val="00FE34B1"/>
    <w:rsid w:val="00FE4917"/>
    <w:rsid w:val="00FF14E5"/>
    <w:rsid w:val="00FF334F"/>
    <w:rsid w:val="00FF6321"/>
    <w:rsid w:val="0B7D379C"/>
    <w:rsid w:val="53B81E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Char Char Char Char"/>
    <w:basedOn w:val="1"/>
    <w:uiPriority w:val="0"/>
    <w:pPr>
      <w:widowControl/>
      <w:spacing w:after="160" w:line="240" w:lineRule="exact"/>
      <w:jc w:val="left"/>
    </w:pPr>
    <w:rPr>
      <w:rFonts w:eastAsia="宋体"/>
      <w:sz w:val="21"/>
      <w:szCs w:val="20"/>
    </w:rPr>
  </w:style>
  <w:style w:type="paragraph" w:customStyle="1" w:styleId="9">
    <w:name w:val="List Paragraph"/>
    <w:basedOn w:val="1"/>
    <w:qFormat/>
    <w:uiPriority w:val="34"/>
    <w:pPr>
      <w:ind w:firstLine="420" w:firstLineChars="200"/>
    </w:pPr>
  </w:style>
  <w:style w:type="character" w:customStyle="1" w:styleId="10">
    <w:name w:val="页眉 Char"/>
    <w:basedOn w:val="6"/>
    <w:link w:val="4"/>
    <w:semiHidden/>
    <w:uiPriority w:val="99"/>
    <w:rPr>
      <w:rFonts w:ascii="Times New Roman" w:hAnsi="Times New Roman" w:eastAsia="仿宋_GB2312" w:cs="Times New Roman"/>
      <w:sz w:val="18"/>
      <w:szCs w:val="18"/>
    </w:rPr>
  </w:style>
  <w:style w:type="character" w:customStyle="1" w:styleId="11">
    <w:name w:val="页脚 Char"/>
    <w:basedOn w:val="6"/>
    <w:link w:val="3"/>
    <w:semiHidden/>
    <w:uiPriority w:val="99"/>
    <w:rPr>
      <w:rFonts w:ascii="Times New Roman" w:hAnsi="Times New Roman" w:eastAsia="仿宋_GB2312" w:cs="Times New Roman"/>
      <w:sz w:val="18"/>
      <w:szCs w:val="18"/>
    </w:rPr>
  </w:style>
  <w:style w:type="character" w:customStyle="1" w:styleId="12">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521</Words>
  <Characters>2970</Characters>
  <Lines>24</Lines>
  <Paragraphs>6</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2017-03-05T12:08:00Z</dcterms:created>
  <dc:creator>Think</dc:creator>
  <cp:lastModifiedBy>樊利楠</cp:lastModifiedBy>
  <cp:lastPrinted>2017-04-18T08:49:44Z</cp:lastPrinted>
  <dcterms:modified xsi:type="dcterms:W3CDTF">2017-04-18T08:49:45Z</dcterms:modified>
  <dc:title>“中国好粮油”行动示范县和示范企业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