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67D7" w:rsidRPr="00CF35FF" w:rsidRDefault="003467D7" w:rsidP="005A29AE">
      <w:pPr>
        <w:autoSpaceDN/>
        <w:snapToGrid/>
        <w:spacing w:line="360" w:lineRule="auto"/>
        <w:rPr>
          <w:rFonts w:ascii="Times New Roman" w:hAnsi="黑体"/>
          <w:szCs w:val="32"/>
        </w:rPr>
      </w:pPr>
      <w:r w:rsidRPr="00CF35FF">
        <w:rPr>
          <w:rFonts w:ascii="Times New Roman" w:hAnsi="黑体" w:hint="eastAsia"/>
          <w:szCs w:val="32"/>
        </w:rPr>
        <w:t>附件</w:t>
      </w:r>
      <w:r w:rsidRPr="00CF35FF">
        <w:rPr>
          <w:rFonts w:ascii="Times New Roman" w:hAnsi="黑体" w:hint="eastAsia"/>
          <w:szCs w:val="32"/>
        </w:rPr>
        <w:t>1</w:t>
      </w:r>
      <w:r w:rsidRPr="00CF35FF">
        <w:rPr>
          <w:rFonts w:ascii="Times New Roman" w:hAnsi="黑体" w:hint="eastAsia"/>
          <w:szCs w:val="32"/>
        </w:rPr>
        <w:t>：</w:t>
      </w:r>
    </w:p>
    <w:p w:rsidR="00770A9C" w:rsidRDefault="00770A9C" w:rsidP="005A29AE">
      <w:pPr>
        <w:autoSpaceDN/>
        <w:snapToGrid/>
        <w:spacing w:line="360" w:lineRule="auto"/>
        <w:jc w:val="center"/>
        <w:rPr>
          <w:rFonts w:ascii="Times New Roman" w:eastAsia="华文中宋" w:hAnsi="黑体"/>
          <w:sz w:val="36"/>
          <w:szCs w:val="36"/>
        </w:rPr>
      </w:pPr>
    </w:p>
    <w:p w:rsidR="00CC6D64" w:rsidRDefault="00162E70" w:rsidP="005A29AE">
      <w:pPr>
        <w:autoSpaceDN/>
        <w:snapToGrid/>
        <w:spacing w:line="360" w:lineRule="auto"/>
        <w:jc w:val="center"/>
        <w:rPr>
          <w:rFonts w:ascii="Times New Roman" w:eastAsia="华文中宋" w:hAnsi="黑体"/>
          <w:sz w:val="36"/>
          <w:szCs w:val="36"/>
        </w:rPr>
      </w:pPr>
      <w:r>
        <w:rPr>
          <w:rFonts w:ascii="Times New Roman" w:eastAsia="华文中宋" w:hAnsi="黑体" w:hint="eastAsia"/>
          <w:sz w:val="36"/>
          <w:szCs w:val="36"/>
        </w:rPr>
        <w:t>粮食主产省</w:t>
      </w:r>
      <w:r w:rsidR="00770A9C" w:rsidRPr="00770A9C">
        <w:rPr>
          <w:rFonts w:ascii="Times New Roman" w:eastAsia="华文中宋" w:hAnsi="黑体" w:hint="eastAsia"/>
          <w:sz w:val="36"/>
          <w:szCs w:val="36"/>
        </w:rPr>
        <w:t>农业</w:t>
      </w:r>
      <w:r w:rsidR="00D70347">
        <w:rPr>
          <w:rFonts w:ascii="Times New Roman" w:eastAsia="华文中宋" w:hAnsi="黑体" w:hint="eastAsia"/>
          <w:sz w:val="36"/>
          <w:szCs w:val="36"/>
        </w:rPr>
        <w:t>大灾</w:t>
      </w:r>
      <w:r w:rsidR="00770A9C" w:rsidRPr="00770A9C">
        <w:rPr>
          <w:rFonts w:ascii="Times New Roman" w:eastAsia="华文中宋" w:hAnsi="黑体" w:hint="eastAsia"/>
          <w:sz w:val="36"/>
          <w:szCs w:val="36"/>
        </w:rPr>
        <w:t>保险试点工作方案</w:t>
      </w:r>
    </w:p>
    <w:p w:rsidR="00770A9C" w:rsidRPr="00770A9C" w:rsidRDefault="00770A9C" w:rsidP="005A29AE">
      <w:pPr>
        <w:autoSpaceDN/>
        <w:snapToGrid/>
        <w:spacing w:line="360" w:lineRule="auto"/>
        <w:jc w:val="center"/>
        <w:rPr>
          <w:rFonts w:ascii="Times New Roman" w:eastAsia="华文中宋" w:hAnsi="Times New Roman"/>
          <w:sz w:val="36"/>
          <w:szCs w:val="36"/>
        </w:rPr>
      </w:pPr>
    </w:p>
    <w:p w:rsidR="009B3503" w:rsidRPr="001454D5" w:rsidRDefault="00770A9C" w:rsidP="009B3503">
      <w:pPr>
        <w:autoSpaceDN/>
        <w:snapToGrid/>
        <w:spacing w:line="360" w:lineRule="auto"/>
        <w:ind w:firstLine="672"/>
        <w:rPr>
          <w:rFonts w:ascii="Times New Roman" w:eastAsia="黑体" w:hAnsi="Times New Roman"/>
          <w:szCs w:val="32"/>
        </w:rPr>
      </w:pPr>
      <w:r w:rsidRPr="00770A9C">
        <w:rPr>
          <w:rFonts w:ascii="Times New Roman" w:eastAsia="黑体" w:hAnsi="Times New Roman" w:hint="eastAsia"/>
          <w:szCs w:val="32"/>
        </w:rPr>
        <w:t>一、</w:t>
      </w:r>
      <w:r w:rsidR="009B3503" w:rsidRPr="001454D5">
        <w:rPr>
          <w:rFonts w:ascii="Times New Roman" w:eastAsia="黑体" w:hAnsi="Times New Roman" w:hint="eastAsia"/>
          <w:szCs w:val="32"/>
        </w:rPr>
        <w:t>指导思想</w:t>
      </w:r>
    </w:p>
    <w:p w:rsidR="009B3503" w:rsidRDefault="009B3503" w:rsidP="009B3503">
      <w:pPr>
        <w:autoSpaceDN/>
        <w:snapToGrid/>
        <w:spacing w:line="360" w:lineRule="auto"/>
        <w:ind w:firstLine="672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立足深入</w:t>
      </w:r>
      <w:r w:rsidRPr="003467D7">
        <w:rPr>
          <w:rFonts w:ascii="Times New Roman" w:hAnsi="Times New Roman"/>
          <w:szCs w:val="32"/>
        </w:rPr>
        <w:t>推进农业供给侧结构性改革，推动农业</w:t>
      </w:r>
      <w:r w:rsidRPr="003B4A21">
        <w:rPr>
          <w:rFonts w:ascii="Times New Roman" w:hAnsi="Times New Roman" w:hint="eastAsia"/>
          <w:szCs w:val="32"/>
        </w:rPr>
        <w:t>保险“扩面、提标、增品”，</w:t>
      </w:r>
      <w:r w:rsidRPr="003467D7">
        <w:rPr>
          <w:rFonts w:ascii="Times New Roman" w:hAnsi="Times New Roman"/>
          <w:szCs w:val="32"/>
        </w:rPr>
        <w:t>加大对适度规模经营农户的农业保险支持力度，</w:t>
      </w:r>
      <w:r>
        <w:rPr>
          <w:rFonts w:ascii="Times New Roman" w:hAnsi="Times New Roman" w:hint="eastAsia"/>
          <w:szCs w:val="32"/>
        </w:rPr>
        <w:t>提供多元化产品供给，提高保险保障水平和赔付金额，</w:t>
      </w:r>
      <w:r w:rsidRPr="003467D7">
        <w:rPr>
          <w:rFonts w:ascii="Times New Roman" w:hAnsi="Times New Roman"/>
          <w:szCs w:val="32"/>
        </w:rPr>
        <w:t>进一步</w:t>
      </w:r>
      <w:r>
        <w:rPr>
          <w:rFonts w:ascii="Times New Roman" w:hAnsi="Times New Roman" w:hint="eastAsia"/>
          <w:szCs w:val="32"/>
        </w:rPr>
        <w:t>增强</w:t>
      </w:r>
      <w:r w:rsidRPr="003467D7">
        <w:rPr>
          <w:rFonts w:ascii="Times New Roman" w:hAnsi="Times New Roman"/>
          <w:szCs w:val="32"/>
        </w:rPr>
        <w:t>适度规模经营农户防范和应对</w:t>
      </w:r>
      <w:r>
        <w:rPr>
          <w:rFonts w:ascii="Times New Roman" w:hAnsi="Times New Roman" w:hint="eastAsia"/>
          <w:szCs w:val="32"/>
        </w:rPr>
        <w:t>大</w:t>
      </w:r>
      <w:r w:rsidRPr="003467D7">
        <w:rPr>
          <w:rFonts w:ascii="Times New Roman" w:hAnsi="Times New Roman"/>
          <w:szCs w:val="32"/>
        </w:rPr>
        <w:t>灾</w:t>
      </w:r>
      <w:r>
        <w:rPr>
          <w:rFonts w:ascii="Times New Roman" w:hAnsi="Times New Roman" w:hint="eastAsia"/>
          <w:szCs w:val="32"/>
        </w:rPr>
        <w:t>风险</w:t>
      </w:r>
      <w:r w:rsidRPr="003467D7">
        <w:rPr>
          <w:rFonts w:ascii="Times New Roman" w:hAnsi="Times New Roman"/>
          <w:szCs w:val="32"/>
        </w:rPr>
        <w:t>的能力，促进现代农业发展和农民增收，更好地维护国家粮食生产安全。</w:t>
      </w:r>
    </w:p>
    <w:p w:rsidR="009B3503" w:rsidRPr="003467D7" w:rsidRDefault="009B3503" w:rsidP="009B3503">
      <w:pPr>
        <w:autoSpaceDN/>
        <w:snapToGrid/>
        <w:spacing w:line="360" w:lineRule="auto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黑体" w:hint="eastAsia"/>
          <w:szCs w:val="32"/>
        </w:rPr>
        <w:t xml:space="preserve">    </w:t>
      </w:r>
      <w:r>
        <w:rPr>
          <w:rFonts w:ascii="Times New Roman" w:eastAsia="黑体" w:hAnsi="黑体" w:hint="eastAsia"/>
          <w:szCs w:val="32"/>
        </w:rPr>
        <w:t>二</w:t>
      </w:r>
      <w:r w:rsidRPr="003467D7">
        <w:rPr>
          <w:rFonts w:ascii="Times New Roman" w:eastAsia="黑体" w:hAnsi="黑体"/>
          <w:szCs w:val="32"/>
        </w:rPr>
        <w:t>、</w:t>
      </w:r>
      <w:r>
        <w:rPr>
          <w:rFonts w:ascii="Times New Roman" w:eastAsia="黑体" w:hAnsi="黑体" w:hint="eastAsia"/>
          <w:szCs w:val="32"/>
        </w:rPr>
        <w:t>基本原则</w:t>
      </w:r>
    </w:p>
    <w:p w:rsidR="009B3503" w:rsidRDefault="009B3503" w:rsidP="009B3503">
      <w:pPr>
        <w:autoSpaceDN/>
        <w:snapToGrid/>
        <w:spacing w:line="360" w:lineRule="auto"/>
        <w:ind w:firstLine="672"/>
        <w:rPr>
          <w:rFonts w:ascii="Times New Roman" w:hAnsi="Times New Roman"/>
          <w:szCs w:val="32"/>
        </w:rPr>
      </w:pPr>
      <w:r w:rsidRPr="00B1518B">
        <w:rPr>
          <w:rFonts w:ascii="Times New Roman" w:hAnsi="Times New Roman" w:hint="eastAsia"/>
          <w:b/>
          <w:szCs w:val="32"/>
        </w:rPr>
        <w:t>（一）坚持自主自愿。</w:t>
      </w:r>
      <w:r>
        <w:rPr>
          <w:rFonts w:ascii="Times New Roman" w:hAnsi="Times New Roman" w:hint="eastAsia"/>
          <w:szCs w:val="32"/>
        </w:rPr>
        <w:t>试点地区农业保险</w:t>
      </w:r>
      <w:r w:rsidRPr="00505AD2">
        <w:rPr>
          <w:rFonts w:ascii="Calibri" w:hAnsi="Calibri" w:hint="eastAsia"/>
          <w:szCs w:val="32"/>
        </w:rPr>
        <w:t>由农户、农业生产经营</w:t>
      </w:r>
      <w:r>
        <w:rPr>
          <w:rFonts w:hint="eastAsia"/>
          <w:szCs w:val="32"/>
        </w:rPr>
        <w:t>组织</w:t>
      </w:r>
      <w:r w:rsidRPr="00505AD2">
        <w:rPr>
          <w:rFonts w:ascii="Calibri" w:hAnsi="Calibri" w:hint="eastAsia"/>
          <w:szCs w:val="32"/>
        </w:rPr>
        <w:t>自愿投保，</w:t>
      </w:r>
      <w:r>
        <w:rPr>
          <w:rFonts w:ascii="Calibri" w:hAnsi="Calibri" w:hint="eastAsia"/>
          <w:szCs w:val="32"/>
        </w:rPr>
        <w:t>充分尊重</w:t>
      </w:r>
      <w:r>
        <w:rPr>
          <w:rFonts w:hint="eastAsia"/>
          <w:szCs w:val="32"/>
        </w:rPr>
        <w:t>其</w:t>
      </w:r>
      <w:r>
        <w:rPr>
          <w:rFonts w:ascii="Calibri" w:hAnsi="Calibri" w:hint="eastAsia"/>
          <w:szCs w:val="32"/>
        </w:rPr>
        <w:t>意愿</w:t>
      </w:r>
      <w:r>
        <w:rPr>
          <w:rFonts w:hint="eastAsia"/>
          <w:szCs w:val="32"/>
        </w:rPr>
        <w:t>，</w:t>
      </w:r>
      <w:r>
        <w:rPr>
          <w:rFonts w:ascii="Calibri" w:hAnsi="Calibri" w:hint="eastAsia"/>
          <w:szCs w:val="32"/>
        </w:rPr>
        <w:t>对</w:t>
      </w:r>
      <w:r w:rsidRPr="00505AD2">
        <w:rPr>
          <w:rFonts w:ascii="Calibri" w:hAnsi="Calibri" w:hint="eastAsia"/>
          <w:szCs w:val="32"/>
        </w:rPr>
        <w:t>符合国家规定的险种，由财政部门给予保费补贴支持。</w:t>
      </w:r>
    </w:p>
    <w:p w:rsidR="009B3503" w:rsidRPr="00F94D16" w:rsidRDefault="009B3503" w:rsidP="009B3503">
      <w:pPr>
        <w:autoSpaceDN/>
        <w:snapToGrid/>
        <w:spacing w:line="360" w:lineRule="auto"/>
        <w:ind w:firstLine="672"/>
        <w:rPr>
          <w:rFonts w:ascii="Times New Roman" w:hAnsi="Times New Roman"/>
          <w:szCs w:val="32"/>
        </w:rPr>
      </w:pPr>
      <w:r w:rsidRPr="00B1518B">
        <w:rPr>
          <w:rFonts w:ascii="Times New Roman" w:hAnsi="Times New Roman" w:hint="eastAsia"/>
          <w:b/>
          <w:szCs w:val="32"/>
        </w:rPr>
        <w:t>（二）体现正向激励。</w:t>
      </w:r>
      <w:r w:rsidRPr="00F94D16">
        <w:rPr>
          <w:rFonts w:ascii="Calibri" w:hAnsi="Calibri" w:hint="eastAsia"/>
          <w:szCs w:val="32"/>
        </w:rPr>
        <w:t>试点工作</w:t>
      </w:r>
      <w:r w:rsidRPr="00F94D16">
        <w:rPr>
          <w:rFonts w:ascii="仿宋_GB2312" w:hAnsi="Calibri" w:hint="eastAsia"/>
          <w:szCs w:val="32"/>
        </w:rPr>
        <w:t>与现</w:t>
      </w:r>
      <w:r w:rsidRPr="00F94D16">
        <w:rPr>
          <w:rFonts w:ascii="仿宋_GB2312" w:hint="eastAsia"/>
          <w:szCs w:val="32"/>
        </w:rPr>
        <w:t>行</w:t>
      </w:r>
      <w:r w:rsidRPr="00F94D16">
        <w:rPr>
          <w:rFonts w:ascii="仿宋_GB2312" w:hAnsi="Calibri" w:hint="eastAsia"/>
          <w:szCs w:val="32"/>
        </w:rPr>
        <w:t>产粮大县农业保险保费补贴政策相衔接，加大中央财政</w:t>
      </w:r>
      <w:r>
        <w:rPr>
          <w:rFonts w:ascii="仿宋_GB2312" w:hAnsi="Calibri" w:hint="eastAsia"/>
          <w:szCs w:val="32"/>
        </w:rPr>
        <w:t>对试点地区的</w:t>
      </w:r>
      <w:r w:rsidRPr="00F94D16">
        <w:rPr>
          <w:rFonts w:ascii="仿宋_GB2312" w:hAnsi="Calibri" w:hint="eastAsia"/>
          <w:szCs w:val="32"/>
        </w:rPr>
        <w:t>保费补贴力度，引导和鼓励</w:t>
      </w:r>
      <w:r>
        <w:rPr>
          <w:rFonts w:ascii="仿宋_GB2312" w:hAnsi="Calibri" w:hint="eastAsia"/>
          <w:szCs w:val="32"/>
        </w:rPr>
        <w:t>地方政府</w:t>
      </w:r>
      <w:r w:rsidRPr="00F94D16">
        <w:rPr>
          <w:rFonts w:ascii="仿宋_GB2312" w:hAnsi="Calibri" w:hint="eastAsia"/>
          <w:szCs w:val="32"/>
        </w:rPr>
        <w:t>积极参与试点工作。</w:t>
      </w:r>
    </w:p>
    <w:p w:rsidR="009B3503" w:rsidRDefault="009B3503" w:rsidP="009B3503">
      <w:pPr>
        <w:autoSpaceDN/>
        <w:snapToGrid/>
        <w:spacing w:line="360" w:lineRule="auto"/>
        <w:ind w:firstLine="672"/>
        <w:rPr>
          <w:rFonts w:ascii="Times New Roman" w:hAnsi="Times New Roman"/>
          <w:szCs w:val="32"/>
        </w:rPr>
      </w:pPr>
      <w:r w:rsidRPr="00B1518B">
        <w:rPr>
          <w:rFonts w:ascii="Times New Roman" w:hAnsi="Times New Roman" w:hint="eastAsia"/>
          <w:b/>
          <w:szCs w:val="32"/>
        </w:rPr>
        <w:t>（三）促进规模经营。</w:t>
      </w:r>
      <w:r w:rsidRPr="00F94D16">
        <w:rPr>
          <w:rFonts w:hint="eastAsia"/>
          <w:szCs w:val="32"/>
        </w:rPr>
        <w:t>将</w:t>
      </w:r>
      <w:r w:rsidRPr="00F94D16">
        <w:rPr>
          <w:rFonts w:ascii="Calibri" w:hAnsi="Calibri" w:hint="eastAsia"/>
          <w:szCs w:val="32"/>
        </w:rPr>
        <w:t>家庭农场、专业大户、农民合作社等适度规模经营主体作为重点扶持</w:t>
      </w:r>
      <w:r w:rsidRPr="00505AD2">
        <w:rPr>
          <w:rFonts w:ascii="Calibri" w:hAnsi="Calibri" w:hint="eastAsia"/>
          <w:szCs w:val="32"/>
        </w:rPr>
        <w:t>对象，引导农业生产向规模化、集约化发展，</w:t>
      </w:r>
      <w:r>
        <w:rPr>
          <w:rFonts w:ascii="Calibri" w:hAnsi="Calibri" w:hint="eastAsia"/>
          <w:szCs w:val="32"/>
        </w:rPr>
        <w:t>提升</w:t>
      </w:r>
      <w:r w:rsidRPr="00505AD2">
        <w:rPr>
          <w:rFonts w:ascii="Calibri" w:hAnsi="Calibri" w:hint="eastAsia"/>
          <w:szCs w:val="32"/>
        </w:rPr>
        <w:t>适度规模经营水平。</w:t>
      </w:r>
    </w:p>
    <w:p w:rsidR="009B3503" w:rsidRPr="003467D7" w:rsidRDefault="009B3503" w:rsidP="009B3503">
      <w:pPr>
        <w:autoSpaceDN/>
        <w:snapToGrid/>
        <w:spacing w:line="360" w:lineRule="auto"/>
        <w:ind w:firstLineChars="200" w:firstLine="634"/>
        <w:rPr>
          <w:rFonts w:ascii="Times New Roman" w:hAnsi="Times New Roman"/>
          <w:szCs w:val="32"/>
        </w:rPr>
      </w:pPr>
      <w:r w:rsidRPr="003B4A21">
        <w:rPr>
          <w:rFonts w:ascii="Times New Roman" w:hAnsi="Times New Roman" w:hint="eastAsia"/>
          <w:b/>
          <w:szCs w:val="32"/>
        </w:rPr>
        <w:t>（四）</w:t>
      </w:r>
      <w:r>
        <w:rPr>
          <w:rFonts w:ascii="Times New Roman" w:hAnsi="Times New Roman" w:hint="eastAsia"/>
          <w:b/>
          <w:szCs w:val="32"/>
        </w:rPr>
        <w:t>鼓励</w:t>
      </w:r>
      <w:r w:rsidRPr="003B4A21">
        <w:rPr>
          <w:rFonts w:ascii="Times New Roman" w:hAnsi="Times New Roman" w:hint="eastAsia"/>
          <w:b/>
          <w:szCs w:val="32"/>
        </w:rPr>
        <w:t>探索创新。</w:t>
      </w:r>
      <w:r w:rsidRPr="003467D7">
        <w:rPr>
          <w:rFonts w:ascii="Times New Roman" w:hAnsi="Times New Roman"/>
          <w:szCs w:val="32"/>
        </w:rPr>
        <w:t>试点过程中，鼓励各地</w:t>
      </w:r>
      <w:r>
        <w:rPr>
          <w:rFonts w:ascii="Times New Roman" w:hAnsi="Times New Roman" w:hint="eastAsia"/>
          <w:szCs w:val="32"/>
        </w:rPr>
        <w:t>因地制宜进行</w:t>
      </w:r>
      <w:r>
        <w:rPr>
          <w:rFonts w:ascii="Times New Roman" w:hAnsi="Times New Roman" w:hint="eastAsia"/>
          <w:szCs w:val="32"/>
        </w:rPr>
        <w:lastRenderedPageBreak/>
        <w:t>探索，创新符合本地实际的具体保险模式，加大对</w:t>
      </w:r>
      <w:r w:rsidRPr="003467D7">
        <w:rPr>
          <w:rFonts w:ascii="Times New Roman" w:hAnsi="Times New Roman"/>
          <w:szCs w:val="32"/>
        </w:rPr>
        <w:t>适度规模经营农户的农业保险支持。</w:t>
      </w:r>
    </w:p>
    <w:p w:rsidR="00770A9C" w:rsidRPr="00770A9C" w:rsidRDefault="009B3503" w:rsidP="005A29AE">
      <w:pPr>
        <w:autoSpaceDN/>
        <w:snapToGrid/>
        <w:spacing w:line="360" w:lineRule="auto"/>
        <w:ind w:firstLineChars="200" w:firstLine="632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三、</w:t>
      </w:r>
      <w:r w:rsidR="00BF64A7">
        <w:rPr>
          <w:rFonts w:ascii="Times New Roman" w:eastAsia="黑体" w:hAnsi="Times New Roman" w:hint="eastAsia"/>
          <w:szCs w:val="32"/>
        </w:rPr>
        <w:t>试点期限和</w:t>
      </w:r>
      <w:r w:rsidR="00CC6D64" w:rsidRPr="00770A9C">
        <w:rPr>
          <w:rFonts w:ascii="Times New Roman" w:eastAsia="黑体" w:hAnsi="Times New Roman"/>
          <w:szCs w:val="32"/>
        </w:rPr>
        <w:t>保险标的</w:t>
      </w:r>
    </w:p>
    <w:p w:rsidR="00CC6D64" w:rsidRPr="003467D7" w:rsidRDefault="00CE4828" w:rsidP="005A29AE">
      <w:pPr>
        <w:autoSpaceDN/>
        <w:snapToGrid/>
        <w:spacing w:line="360" w:lineRule="auto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为总结试点经验，尽快形成可推广、可复制的农业大灾保险模式</w:t>
      </w:r>
      <w:r w:rsidR="00961B00">
        <w:rPr>
          <w:rFonts w:ascii="Times New Roman" w:hAnsi="Times New Roman" w:hint="eastAsia"/>
          <w:szCs w:val="32"/>
        </w:rPr>
        <w:t>，</w:t>
      </w:r>
      <w:r w:rsidR="00BF64A7">
        <w:rPr>
          <w:rFonts w:ascii="Times New Roman" w:hAnsi="Times New Roman" w:hint="eastAsia"/>
          <w:szCs w:val="32"/>
        </w:rPr>
        <w:t>试点期限</w:t>
      </w:r>
      <w:r w:rsidR="00BF64A7" w:rsidRPr="00983D4B">
        <w:rPr>
          <w:rFonts w:ascii="Times New Roman" w:hAnsi="Times New Roman" w:hint="eastAsia"/>
          <w:szCs w:val="32"/>
        </w:rPr>
        <w:t>暂定</w:t>
      </w:r>
      <w:r w:rsidR="00BF64A7">
        <w:rPr>
          <w:rFonts w:ascii="Times New Roman" w:hAnsi="Times New Roman" w:hint="eastAsia"/>
          <w:szCs w:val="32"/>
        </w:rPr>
        <w:t>为</w:t>
      </w:r>
      <w:r w:rsidR="00BF64A7" w:rsidRPr="003467D7">
        <w:rPr>
          <w:rFonts w:ascii="Times New Roman" w:hAnsi="Times New Roman"/>
          <w:szCs w:val="32"/>
        </w:rPr>
        <w:t>2017</w:t>
      </w:r>
      <w:r w:rsidR="00BF64A7" w:rsidRPr="003467D7">
        <w:rPr>
          <w:rFonts w:ascii="Times New Roman" w:hAnsi="Times New Roman"/>
          <w:szCs w:val="32"/>
        </w:rPr>
        <w:t>年</w:t>
      </w:r>
      <w:r w:rsidR="00BF64A7">
        <w:rPr>
          <w:rFonts w:ascii="Times New Roman" w:hAnsi="Times New Roman" w:hint="eastAsia"/>
          <w:szCs w:val="32"/>
        </w:rPr>
        <w:t>和</w:t>
      </w:r>
      <w:r w:rsidR="00BF64A7" w:rsidRPr="003467D7">
        <w:rPr>
          <w:rFonts w:ascii="Times New Roman" w:hAnsi="Times New Roman"/>
          <w:szCs w:val="32"/>
        </w:rPr>
        <w:t>2018</w:t>
      </w:r>
      <w:r w:rsidR="00BF64A7">
        <w:rPr>
          <w:rFonts w:ascii="Times New Roman" w:hAnsi="Times New Roman"/>
          <w:szCs w:val="32"/>
        </w:rPr>
        <w:t>年</w:t>
      </w:r>
      <w:r w:rsidR="00BF64A7">
        <w:rPr>
          <w:rFonts w:ascii="Times New Roman" w:hAnsi="Times New Roman" w:hint="eastAsia"/>
          <w:szCs w:val="32"/>
        </w:rPr>
        <w:t>，试点保险标的</w:t>
      </w:r>
      <w:r w:rsidR="00421627">
        <w:rPr>
          <w:rFonts w:ascii="Times New Roman" w:hAnsi="Times New Roman" w:hint="eastAsia"/>
          <w:szCs w:val="32"/>
        </w:rPr>
        <w:t>首先</w:t>
      </w:r>
      <w:r w:rsidR="00961B00">
        <w:rPr>
          <w:rFonts w:ascii="Times New Roman" w:hAnsi="Times New Roman" w:hint="eastAsia"/>
          <w:szCs w:val="32"/>
        </w:rPr>
        <w:t>选择</w:t>
      </w:r>
      <w:r w:rsidR="00F80D6A">
        <w:rPr>
          <w:rFonts w:ascii="Times New Roman" w:hAnsi="Times New Roman"/>
          <w:szCs w:val="32"/>
        </w:rPr>
        <w:t>关系国计民生和粮食安全的水稻、小麦、玉米三大粮食作物</w:t>
      </w:r>
      <w:r w:rsidR="00F80D6A">
        <w:rPr>
          <w:rFonts w:ascii="Times New Roman" w:hAnsi="Times New Roman" w:hint="eastAsia"/>
          <w:szCs w:val="32"/>
        </w:rPr>
        <w:t>。</w:t>
      </w:r>
    </w:p>
    <w:p w:rsidR="00770A9C" w:rsidRPr="00770A9C" w:rsidRDefault="009B3503" w:rsidP="005A29AE">
      <w:pPr>
        <w:autoSpaceDN/>
        <w:snapToGrid/>
        <w:spacing w:line="360" w:lineRule="auto"/>
        <w:ind w:firstLineChars="200" w:firstLine="632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四</w:t>
      </w:r>
      <w:r w:rsidR="00770A9C" w:rsidRPr="00770A9C">
        <w:rPr>
          <w:rFonts w:ascii="Times New Roman" w:eastAsia="黑体" w:hAnsi="Times New Roman" w:hint="eastAsia"/>
          <w:szCs w:val="32"/>
        </w:rPr>
        <w:t>、</w:t>
      </w:r>
      <w:r w:rsidR="00CC6D64" w:rsidRPr="00770A9C">
        <w:rPr>
          <w:rFonts w:ascii="Times New Roman" w:eastAsia="黑体" w:hAnsi="Times New Roman"/>
          <w:szCs w:val="32"/>
        </w:rPr>
        <w:t>试点地区</w:t>
      </w:r>
    </w:p>
    <w:p w:rsidR="00770A9C" w:rsidRDefault="00CC6D64" w:rsidP="005A29AE">
      <w:pPr>
        <w:autoSpaceDN/>
        <w:snapToGrid/>
        <w:spacing w:line="360" w:lineRule="auto"/>
        <w:ind w:firstLineChars="200" w:firstLine="632"/>
        <w:rPr>
          <w:rFonts w:ascii="Times New Roman" w:hAnsi="Times New Roman"/>
          <w:szCs w:val="32"/>
        </w:rPr>
      </w:pPr>
      <w:r w:rsidRPr="003467D7">
        <w:rPr>
          <w:rFonts w:ascii="Times New Roman" w:hAnsi="Times New Roman"/>
          <w:szCs w:val="32"/>
        </w:rPr>
        <w:t>在</w:t>
      </w:r>
      <w:r w:rsidR="00770A9C" w:rsidRPr="003467D7">
        <w:rPr>
          <w:rFonts w:ascii="Times New Roman" w:hAnsi="Arial"/>
          <w:szCs w:val="32"/>
        </w:rPr>
        <w:t>河北、内蒙古、辽宁、吉林、黑龙江、江苏、安徽、江西、山东、河南、湖北、湖南、四川</w:t>
      </w:r>
      <w:r w:rsidRPr="003467D7">
        <w:rPr>
          <w:rFonts w:ascii="Times New Roman" w:hAnsi="Times New Roman"/>
          <w:szCs w:val="32"/>
        </w:rPr>
        <w:t>13</w:t>
      </w:r>
      <w:r w:rsidRPr="003467D7">
        <w:rPr>
          <w:rFonts w:ascii="Times New Roman" w:hAnsi="Times New Roman"/>
          <w:szCs w:val="32"/>
        </w:rPr>
        <w:t>个粮食主产省选择</w:t>
      </w:r>
      <w:r w:rsidRPr="003467D7">
        <w:rPr>
          <w:rFonts w:ascii="Times New Roman" w:hAnsi="Times New Roman"/>
          <w:szCs w:val="32"/>
        </w:rPr>
        <w:t>200</w:t>
      </w:r>
      <w:r w:rsidRPr="003467D7">
        <w:rPr>
          <w:rFonts w:ascii="Times New Roman" w:hAnsi="Times New Roman"/>
          <w:szCs w:val="32"/>
        </w:rPr>
        <w:t>个产粮大县开展试点。其中，</w:t>
      </w:r>
      <w:r w:rsidR="00BB356C" w:rsidRPr="00BB356C">
        <w:rPr>
          <w:rFonts w:ascii="Times New Roman" w:hAnsi="Times New Roman"/>
          <w:szCs w:val="32"/>
        </w:rPr>
        <w:t>粮食产量位居全国前三的</w:t>
      </w:r>
      <w:r w:rsidRPr="003467D7">
        <w:rPr>
          <w:rFonts w:ascii="Times New Roman" w:hAnsi="Times New Roman"/>
          <w:szCs w:val="32"/>
        </w:rPr>
        <w:t>黑龙江、</w:t>
      </w:r>
      <w:r w:rsidR="00770A9C" w:rsidRPr="003467D7">
        <w:rPr>
          <w:rFonts w:ascii="Times New Roman" w:hAnsi="Times New Roman"/>
          <w:szCs w:val="32"/>
        </w:rPr>
        <w:t>河南、</w:t>
      </w:r>
      <w:r w:rsidRPr="003467D7">
        <w:rPr>
          <w:rFonts w:ascii="Times New Roman" w:hAnsi="Times New Roman"/>
          <w:szCs w:val="32"/>
        </w:rPr>
        <w:t>山东各选择</w:t>
      </w:r>
      <w:r w:rsidRPr="003467D7">
        <w:rPr>
          <w:rFonts w:ascii="Times New Roman" w:hAnsi="Times New Roman"/>
          <w:szCs w:val="32"/>
        </w:rPr>
        <w:t>20</w:t>
      </w:r>
      <w:r w:rsidRPr="003467D7">
        <w:rPr>
          <w:rFonts w:ascii="Times New Roman" w:hAnsi="Times New Roman"/>
          <w:szCs w:val="32"/>
        </w:rPr>
        <w:t>个试点县，其余省份各选择</w:t>
      </w:r>
      <w:r w:rsidRPr="003467D7">
        <w:rPr>
          <w:rFonts w:ascii="Times New Roman" w:hAnsi="Times New Roman"/>
          <w:szCs w:val="32"/>
        </w:rPr>
        <w:t>14</w:t>
      </w:r>
      <w:r w:rsidRPr="003467D7">
        <w:rPr>
          <w:rFonts w:ascii="Times New Roman" w:hAnsi="Times New Roman"/>
          <w:szCs w:val="32"/>
        </w:rPr>
        <w:t>个试点县。</w:t>
      </w:r>
    </w:p>
    <w:p w:rsidR="00CC6D64" w:rsidRPr="00770A9C" w:rsidRDefault="00CC6D64" w:rsidP="005A29AE">
      <w:pPr>
        <w:autoSpaceDN/>
        <w:snapToGrid/>
        <w:spacing w:line="360" w:lineRule="auto"/>
        <w:ind w:firstLineChars="200" w:firstLine="632"/>
        <w:rPr>
          <w:rFonts w:ascii="Times New Roman" w:hAnsi="Times New Roman"/>
          <w:szCs w:val="32"/>
        </w:rPr>
      </w:pPr>
      <w:r w:rsidRPr="003467D7">
        <w:rPr>
          <w:rFonts w:ascii="Times New Roman" w:hAnsi="Times New Roman"/>
          <w:szCs w:val="32"/>
        </w:rPr>
        <w:t>试点县名单由各省份自行确定，原则上应具备</w:t>
      </w:r>
      <w:r w:rsidR="00F96BE1" w:rsidRPr="003467D7">
        <w:rPr>
          <w:rFonts w:ascii="Times New Roman" w:hAnsi="Times New Roman"/>
          <w:szCs w:val="32"/>
        </w:rPr>
        <w:t>较好</w:t>
      </w:r>
      <w:r w:rsidR="00F96BE1">
        <w:rPr>
          <w:rFonts w:ascii="Times New Roman" w:hAnsi="Times New Roman" w:hint="eastAsia"/>
          <w:szCs w:val="32"/>
        </w:rPr>
        <w:t>的</w:t>
      </w:r>
      <w:r w:rsidRPr="003467D7">
        <w:rPr>
          <w:rFonts w:ascii="Times New Roman" w:hAnsi="Times New Roman"/>
          <w:szCs w:val="32"/>
        </w:rPr>
        <w:t>农业保险工作基础</w:t>
      </w:r>
      <w:r w:rsidR="00F96BE1">
        <w:rPr>
          <w:rFonts w:ascii="Times New Roman" w:hAnsi="Times New Roman" w:hint="eastAsia"/>
          <w:szCs w:val="32"/>
        </w:rPr>
        <w:t>、</w:t>
      </w:r>
      <w:r w:rsidRPr="003467D7">
        <w:rPr>
          <w:rFonts w:ascii="Times New Roman" w:hAnsi="Times New Roman"/>
          <w:szCs w:val="32"/>
        </w:rPr>
        <w:t>生产经营以适度规模经营农户为主</w:t>
      </w:r>
      <w:r w:rsidR="00F96BE1">
        <w:rPr>
          <w:rFonts w:ascii="Times New Roman" w:hAnsi="Times New Roman" w:hint="eastAsia"/>
          <w:szCs w:val="32"/>
        </w:rPr>
        <w:t>、</w:t>
      </w:r>
      <w:r w:rsidRPr="003467D7">
        <w:rPr>
          <w:rFonts w:ascii="Times New Roman" w:hAnsi="Times New Roman"/>
          <w:szCs w:val="32"/>
        </w:rPr>
        <w:t>具有较强</w:t>
      </w:r>
      <w:r w:rsidRPr="00770A9C">
        <w:rPr>
          <w:rFonts w:ascii="Times New Roman" w:hAnsi="Times New Roman"/>
          <w:szCs w:val="32"/>
        </w:rPr>
        <w:t>的代表性。</w:t>
      </w:r>
      <w:r w:rsidR="00BB356C" w:rsidRPr="00BB356C">
        <w:rPr>
          <w:rFonts w:ascii="Times New Roman" w:hAnsi="Times New Roman" w:hint="eastAsia"/>
          <w:szCs w:val="32"/>
        </w:rPr>
        <w:t>产粮大县范围根据财政</w:t>
      </w:r>
      <w:r w:rsidR="00A8275D">
        <w:rPr>
          <w:rFonts w:ascii="Times New Roman" w:hAnsi="Times New Roman" w:hint="eastAsia"/>
          <w:szCs w:val="32"/>
        </w:rPr>
        <w:t>部</w:t>
      </w:r>
      <w:r w:rsidR="00BB356C" w:rsidRPr="00BB356C">
        <w:rPr>
          <w:rFonts w:ascii="Times New Roman" w:hAnsi="Times New Roman" w:hint="eastAsia"/>
          <w:szCs w:val="32"/>
        </w:rPr>
        <w:t>产粮</w:t>
      </w:r>
      <w:r w:rsidR="00A8275D">
        <w:rPr>
          <w:rFonts w:ascii="Times New Roman" w:hAnsi="Times New Roman" w:hint="eastAsia"/>
          <w:szCs w:val="32"/>
        </w:rPr>
        <w:t>（油）</w:t>
      </w:r>
      <w:r w:rsidR="00BB356C" w:rsidRPr="00BB356C">
        <w:rPr>
          <w:rFonts w:ascii="Times New Roman" w:hAnsi="Times New Roman" w:hint="eastAsia"/>
          <w:szCs w:val="32"/>
        </w:rPr>
        <w:t>大县奖励办法确定。</w:t>
      </w:r>
    </w:p>
    <w:p w:rsidR="00770A9C" w:rsidRPr="00770A9C" w:rsidRDefault="009B3503" w:rsidP="005A29AE">
      <w:pPr>
        <w:autoSpaceDN/>
        <w:snapToGrid/>
        <w:spacing w:line="360" w:lineRule="auto"/>
        <w:ind w:firstLineChars="200" w:firstLine="632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五</w:t>
      </w:r>
      <w:r w:rsidR="00770A9C" w:rsidRPr="00770A9C">
        <w:rPr>
          <w:rFonts w:ascii="Times New Roman" w:eastAsia="黑体" w:hAnsi="Times New Roman" w:hint="eastAsia"/>
          <w:szCs w:val="32"/>
        </w:rPr>
        <w:t>、</w:t>
      </w:r>
      <w:r w:rsidR="00EF660A" w:rsidRPr="00770A9C">
        <w:rPr>
          <w:rFonts w:ascii="Times New Roman" w:eastAsia="黑体" w:hAnsi="Times New Roman"/>
          <w:szCs w:val="32"/>
        </w:rPr>
        <w:t>保障水平和</w:t>
      </w:r>
      <w:r w:rsidR="00CC6D64" w:rsidRPr="00770A9C">
        <w:rPr>
          <w:rFonts w:ascii="Times New Roman" w:eastAsia="黑体" w:hAnsi="Times New Roman"/>
          <w:szCs w:val="32"/>
        </w:rPr>
        <w:t>参保范围</w:t>
      </w:r>
    </w:p>
    <w:p w:rsidR="0046635C" w:rsidRDefault="00CC6D64" w:rsidP="005A29AE">
      <w:pPr>
        <w:autoSpaceDN/>
        <w:snapToGrid/>
        <w:spacing w:line="360" w:lineRule="auto"/>
        <w:ind w:firstLineChars="200" w:firstLine="632"/>
        <w:rPr>
          <w:rFonts w:ascii="Times New Roman" w:hAnsi="Times New Roman"/>
          <w:szCs w:val="32"/>
        </w:rPr>
      </w:pPr>
      <w:r w:rsidRPr="003467D7">
        <w:rPr>
          <w:rFonts w:ascii="Times New Roman" w:hAnsi="Times New Roman"/>
          <w:szCs w:val="32"/>
        </w:rPr>
        <w:t>在</w:t>
      </w:r>
      <w:r w:rsidR="00A8275D">
        <w:rPr>
          <w:rFonts w:ascii="Times New Roman" w:hAnsi="Times New Roman" w:hint="eastAsia"/>
          <w:szCs w:val="32"/>
        </w:rPr>
        <w:t>试点地区</w:t>
      </w:r>
      <w:r w:rsidR="00163932">
        <w:rPr>
          <w:rFonts w:ascii="Times New Roman" w:hAnsi="Times New Roman" w:hint="eastAsia"/>
          <w:szCs w:val="32"/>
        </w:rPr>
        <w:t>将</w:t>
      </w:r>
      <w:r w:rsidRPr="003467D7">
        <w:rPr>
          <w:rFonts w:ascii="Times New Roman" w:hAnsi="Times New Roman"/>
          <w:szCs w:val="32"/>
        </w:rPr>
        <w:t>试点县</w:t>
      </w:r>
      <w:r w:rsidR="00163932">
        <w:rPr>
          <w:rFonts w:ascii="Times New Roman" w:hAnsi="Times New Roman" w:hint="eastAsia"/>
          <w:szCs w:val="32"/>
        </w:rPr>
        <w:t>的</w:t>
      </w:r>
      <w:r w:rsidRPr="003467D7">
        <w:rPr>
          <w:rFonts w:ascii="Times New Roman" w:hAnsi="Times New Roman"/>
          <w:szCs w:val="32"/>
        </w:rPr>
        <w:t>农业保险基本保障金额按规定覆盖直接物化成本的基础上，开发面向适度规模经营农户的专属</w:t>
      </w:r>
      <w:r w:rsidR="0046635C">
        <w:rPr>
          <w:rFonts w:ascii="Times New Roman" w:hAnsi="Times New Roman" w:hint="eastAsia"/>
          <w:szCs w:val="32"/>
        </w:rPr>
        <w:t>农业</w:t>
      </w:r>
      <w:r w:rsidR="00A8275D">
        <w:rPr>
          <w:rFonts w:ascii="Times New Roman" w:hAnsi="Times New Roman" w:hint="eastAsia"/>
          <w:szCs w:val="32"/>
        </w:rPr>
        <w:t>大灾</w:t>
      </w:r>
      <w:r w:rsidR="0046635C">
        <w:rPr>
          <w:rFonts w:ascii="Times New Roman" w:hAnsi="Times New Roman" w:hint="eastAsia"/>
          <w:szCs w:val="32"/>
        </w:rPr>
        <w:t>保险</w:t>
      </w:r>
      <w:r w:rsidRPr="003467D7">
        <w:rPr>
          <w:rFonts w:ascii="Times New Roman" w:hAnsi="Times New Roman"/>
          <w:szCs w:val="32"/>
        </w:rPr>
        <w:t>产品，保障水平</w:t>
      </w:r>
      <w:r w:rsidRPr="0046635C">
        <w:rPr>
          <w:rFonts w:ascii="Times New Roman" w:hAnsi="Times New Roman" w:hint="eastAsia"/>
          <w:szCs w:val="32"/>
        </w:rPr>
        <w:t>覆盖“直接物化成本</w:t>
      </w:r>
      <w:r w:rsidRPr="0046635C">
        <w:rPr>
          <w:rFonts w:ascii="Times New Roman" w:hAnsi="Times New Roman" w:hint="eastAsia"/>
          <w:szCs w:val="32"/>
        </w:rPr>
        <w:t>+</w:t>
      </w:r>
      <w:r w:rsidR="0046635C">
        <w:rPr>
          <w:rFonts w:ascii="Times New Roman" w:hAnsi="Times New Roman" w:hint="eastAsia"/>
          <w:szCs w:val="32"/>
        </w:rPr>
        <w:t>地租”，提高</w:t>
      </w:r>
      <w:r w:rsidR="00725C5A">
        <w:rPr>
          <w:rFonts w:ascii="Times New Roman" w:hAnsi="Times New Roman" w:hint="eastAsia"/>
          <w:szCs w:val="32"/>
        </w:rPr>
        <w:t>保险赔付金额，增强</w:t>
      </w:r>
      <w:r w:rsidR="0046635C">
        <w:rPr>
          <w:rFonts w:ascii="Times New Roman" w:hAnsi="Times New Roman" w:hint="eastAsia"/>
          <w:szCs w:val="32"/>
        </w:rPr>
        <w:t>适度规模经营农户应对农业大灾风险的能力。</w:t>
      </w:r>
    </w:p>
    <w:p w:rsidR="003E60DC" w:rsidRPr="0029604E" w:rsidRDefault="00CC6D64" w:rsidP="00A8275D">
      <w:pPr>
        <w:autoSpaceDN/>
        <w:snapToGrid/>
        <w:spacing w:line="360" w:lineRule="auto"/>
        <w:ind w:firstLineChars="200" w:firstLine="632"/>
        <w:rPr>
          <w:rFonts w:ascii="Times New Roman" w:hAnsi="Times New Roman"/>
          <w:szCs w:val="32"/>
        </w:rPr>
      </w:pPr>
      <w:r w:rsidRPr="003467D7">
        <w:rPr>
          <w:rFonts w:ascii="Times New Roman" w:hAnsi="Times New Roman"/>
          <w:szCs w:val="32"/>
        </w:rPr>
        <w:t>适度规模经营农户的具体标准，由各省份根据中共中央办公厅、国务院办公厅《关于引导农村土地经营权有序流转发展农业</w:t>
      </w:r>
      <w:r w:rsidRPr="003467D7">
        <w:rPr>
          <w:rFonts w:ascii="Times New Roman" w:hAnsi="Times New Roman"/>
          <w:szCs w:val="32"/>
        </w:rPr>
        <w:lastRenderedPageBreak/>
        <w:t>适度规模经营的意见》（中办发〔</w:t>
      </w:r>
      <w:r w:rsidRPr="003467D7">
        <w:rPr>
          <w:rFonts w:ascii="Times New Roman" w:hAnsi="Times New Roman"/>
          <w:szCs w:val="32"/>
        </w:rPr>
        <w:t>2014</w:t>
      </w:r>
      <w:r w:rsidRPr="003467D7">
        <w:rPr>
          <w:rFonts w:ascii="Times New Roman" w:hAnsi="Times New Roman"/>
          <w:szCs w:val="32"/>
        </w:rPr>
        <w:t>〕</w:t>
      </w:r>
      <w:r w:rsidRPr="003467D7">
        <w:rPr>
          <w:rFonts w:ascii="Times New Roman" w:hAnsi="Times New Roman"/>
          <w:szCs w:val="32"/>
        </w:rPr>
        <w:t>61</w:t>
      </w:r>
      <w:r w:rsidRPr="003467D7">
        <w:rPr>
          <w:rFonts w:ascii="Times New Roman" w:hAnsi="Times New Roman"/>
          <w:szCs w:val="32"/>
        </w:rPr>
        <w:t>号）有关精神，结合当地实际情况</w:t>
      </w:r>
      <w:r w:rsidR="003E60DC">
        <w:rPr>
          <w:rFonts w:ascii="Times New Roman" w:hAnsi="Times New Roman" w:hint="eastAsia"/>
          <w:szCs w:val="32"/>
        </w:rPr>
        <w:t>予以</w:t>
      </w:r>
      <w:r w:rsidRPr="003467D7">
        <w:rPr>
          <w:rFonts w:ascii="Times New Roman" w:hAnsi="Times New Roman"/>
          <w:szCs w:val="32"/>
        </w:rPr>
        <w:t>确定，原则上适度规模经营农户的经营规模应为当地户均承包地面积的</w:t>
      </w:r>
      <w:r w:rsidRPr="003467D7">
        <w:rPr>
          <w:rFonts w:ascii="Times New Roman" w:hAnsi="Times New Roman"/>
          <w:szCs w:val="32"/>
        </w:rPr>
        <w:t>10-15</w:t>
      </w:r>
      <w:r w:rsidRPr="003467D7">
        <w:rPr>
          <w:rFonts w:ascii="Times New Roman" w:hAnsi="Times New Roman"/>
          <w:szCs w:val="32"/>
        </w:rPr>
        <w:t>倍左右。</w:t>
      </w:r>
      <w:r w:rsidR="00A8275D" w:rsidRPr="003467D7">
        <w:rPr>
          <w:rFonts w:ascii="Times New Roman" w:hAnsi="Times New Roman"/>
          <w:szCs w:val="32"/>
        </w:rPr>
        <w:t>保险标的在生长期内所发生的直接物化成本和地租，</w:t>
      </w:r>
      <w:r w:rsidR="00A8275D">
        <w:rPr>
          <w:rFonts w:ascii="Times New Roman" w:hAnsi="Times New Roman" w:hint="eastAsia"/>
          <w:szCs w:val="32"/>
        </w:rPr>
        <w:t>按照</w:t>
      </w:r>
      <w:r w:rsidR="00A8275D" w:rsidRPr="003467D7">
        <w:rPr>
          <w:rFonts w:ascii="Times New Roman" w:hAnsi="Times New Roman"/>
          <w:szCs w:val="32"/>
        </w:rPr>
        <w:t>最近一期价格等相关主管部门发布或认可的数据</w:t>
      </w:r>
      <w:r w:rsidR="00A8275D">
        <w:rPr>
          <w:rFonts w:ascii="Times New Roman" w:hAnsi="Times New Roman" w:hint="eastAsia"/>
          <w:szCs w:val="32"/>
        </w:rPr>
        <w:t>执行</w:t>
      </w:r>
      <w:r w:rsidR="00A8275D" w:rsidRPr="003467D7">
        <w:rPr>
          <w:rFonts w:ascii="Times New Roman" w:hAnsi="Times New Roman"/>
          <w:szCs w:val="32"/>
        </w:rPr>
        <w:t>。</w:t>
      </w:r>
    </w:p>
    <w:p w:rsidR="00983D4B" w:rsidRDefault="009B3503" w:rsidP="00983D4B">
      <w:pPr>
        <w:autoSpaceDN/>
        <w:snapToGrid/>
        <w:spacing w:line="360" w:lineRule="auto"/>
        <w:ind w:firstLineChars="200" w:firstLine="632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六</w:t>
      </w:r>
      <w:r w:rsidR="00770A9C" w:rsidRPr="00983D4B">
        <w:rPr>
          <w:rFonts w:ascii="Times New Roman" w:eastAsia="黑体" w:hAnsi="Times New Roman" w:hint="eastAsia"/>
          <w:szCs w:val="32"/>
        </w:rPr>
        <w:t>、</w:t>
      </w:r>
      <w:r w:rsidR="00CC6D64" w:rsidRPr="00983D4B">
        <w:rPr>
          <w:rFonts w:ascii="Times New Roman" w:eastAsia="黑体" w:hAnsi="Times New Roman"/>
          <w:szCs w:val="32"/>
        </w:rPr>
        <w:t>补贴标准</w:t>
      </w:r>
    </w:p>
    <w:p w:rsidR="00CC6D64" w:rsidRPr="003467D7" w:rsidRDefault="00CC6D64" w:rsidP="00983D4B">
      <w:pPr>
        <w:autoSpaceDN/>
        <w:snapToGrid/>
        <w:spacing w:line="360" w:lineRule="auto"/>
        <w:ind w:firstLineChars="200" w:firstLine="632"/>
        <w:rPr>
          <w:rFonts w:ascii="Times New Roman" w:hAnsi="Times New Roman"/>
          <w:szCs w:val="32"/>
        </w:rPr>
      </w:pPr>
      <w:r w:rsidRPr="003467D7">
        <w:rPr>
          <w:rFonts w:ascii="Times New Roman" w:hAnsi="Times New Roman"/>
          <w:szCs w:val="32"/>
        </w:rPr>
        <w:t>在农户自缴保费比例总体不变的基础上，以取消县级财政保费补贴为目标，进一步提高中央财政保费补贴比例。对</w:t>
      </w:r>
      <w:r w:rsidR="003B655C">
        <w:rPr>
          <w:rFonts w:ascii="Times New Roman" w:hAnsi="Times New Roman" w:hint="eastAsia"/>
          <w:szCs w:val="32"/>
        </w:rPr>
        <w:t>试点县</w:t>
      </w:r>
      <w:r w:rsidR="002C5EAF">
        <w:rPr>
          <w:rFonts w:ascii="Times New Roman" w:hAnsi="Times New Roman" w:hint="eastAsia"/>
          <w:szCs w:val="32"/>
        </w:rPr>
        <w:t>面向</w:t>
      </w:r>
      <w:r w:rsidRPr="003467D7">
        <w:rPr>
          <w:rFonts w:ascii="Times New Roman" w:hAnsi="Times New Roman"/>
          <w:szCs w:val="32"/>
        </w:rPr>
        <w:t>全体农户</w:t>
      </w:r>
      <w:r w:rsidR="003B655C">
        <w:rPr>
          <w:rFonts w:ascii="Times New Roman" w:hAnsi="Times New Roman" w:hint="eastAsia"/>
          <w:szCs w:val="32"/>
        </w:rPr>
        <w:t>的、</w:t>
      </w:r>
      <w:r w:rsidRPr="003467D7">
        <w:rPr>
          <w:rFonts w:ascii="Times New Roman" w:hAnsi="Times New Roman"/>
          <w:szCs w:val="32"/>
        </w:rPr>
        <w:t>保险金额覆盖直接物化成本</w:t>
      </w:r>
      <w:r w:rsidR="009513A6">
        <w:rPr>
          <w:rFonts w:ascii="Times New Roman" w:hAnsi="Times New Roman" w:hint="eastAsia"/>
          <w:szCs w:val="32"/>
        </w:rPr>
        <w:t>部分</w:t>
      </w:r>
      <w:r w:rsidRPr="003467D7">
        <w:rPr>
          <w:rFonts w:ascii="Times New Roman" w:hAnsi="Times New Roman"/>
          <w:szCs w:val="32"/>
        </w:rPr>
        <w:t>的</w:t>
      </w:r>
      <w:r w:rsidR="003B655C">
        <w:rPr>
          <w:rFonts w:ascii="Times New Roman" w:hAnsi="Times New Roman" w:hint="eastAsia"/>
          <w:szCs w:val="32"/>
        </w:rPr>
        <w:t>基础农业保险</w:t>
      </w:r>
      <w:r w:rsidRPr="003467D7">
        <w:rPr>
          <w:rFonts w:ascii="Times New Roman" w:hAnsi="Times New Roman"/>
          <w:szCs w:val="32"/>
        </w:rPr>
        <w:t>保费，在省级财政至少补贴</w:t>
      </w:r>
      <w:r w:rsidRPr="003467D7">
        <w:rPr>
          <w:rFonts w:ascii="Times New Roman" w:hAnsi="Times New Roman"/>
          <w:szCs w:val="32"/>
        </w:rPr>
        <w:t>25%</w:t>
      </w:r>
      <w:r w:rsidRPr="003467D7">
        <w:rPr>
          <w:rFonts w:ascii="Times New Roman" w:hAnsi="Times New Roman"/>
          <w:szCs w:val="32"/>
        </w:rPr>
        <w:t>的基础上，中央财政对中西部地区补贴</w:t>
      </w:r>
      <w:r w:rsidRPr="003467D7">
        <w:rPr>
          <w:rFonts w:ascii="Times New Roman" w:hAnsi="Times New Roman"/>
          <w:szCs w:val="32"/>
        </w:rPr>
        <w:t>47.5%</w:t>
      </w:r>
      <w:r w:rsidRPr="003467D7">
        <w:rPr>
          <w:rFonts w:ascii="Times New Roman" w:hAnsi="Times New Roman"/>
          <w:szCs w:val="32"/>
        </w:rPr>
        <w:t>、对东部地区补贴</w:t>
      </w:r>
      <w:r w:rsidRPr="003467D7">
        <w:rPr>
          <w:rFonts w:ascii="Times New Roman" w:hAnsi="Times New Roman"/>
          <w:szCs w:val="32"/>
        </w:rPr>
        <w:t>45%</w:t>
      </w:r>
      <w:r w:rsidRPr="003467D7">
        <w:rPr>
          <w:rFonts w:ascii="Times New Roman" w:hAnsi="Times New Roman"/>
          <w:szCs w:val="32"/>
        </w:rPr>
        <w:t>；对</w:t>
      </w:r>
      <w:r w:rsidR="003B655C">
        <w:rPr>
          <w:rFonts w:ascii="Times New Roman" w:hAnsi="Times New Roman" w:hint="eastAsia"/>
          <w:szCs w:val="32"/>
        </w:rPr>
        <w:t>试点县面向</w:t>
      </w:r>
      <w:r w:rsidRPr="003467D7">
        <w:rPr>
          <w:rFonts w:ascii="Times New Roman" w:hAnsi="Times New Roman"/>
          <w:szCs w:val="32"/>
        </w:rPr>
        <w:t>适度规模经营农户</w:t>
      </w:r>
      <w:r w:rsidR="003B655C">
        <w:rPr>
          <w:rFonts w:ascii="Times New Roman" w:hAnsi="Times New Roman" w:hint="eastAsia"/>
          <w:szCs w:val="32"/>
        </w:rPr>
        <w:t>的、</w:t>
      </w:r>
      <w:r w:rsidRPr="003467D7">
        <w:rPr>
          <w:rFonts w:ascii="Times New Roman" w:hAnsi="Times New Roman"/>
          <w:szCs w:val="32"/>
        </w:rPr>
        <w:t>保险金额覆盖地租成本</w:t>
      </w:r>
      <w:r w:rsidR="003B655C">
        <w:rPr>
          <w:rFonts w:ascii="Times New Roman" w:hAnsi="Times New Roman" w:hint="eastAsia"/>
          <w:szCs w:val="32"/>
        </w:rPr>
        <w:t>部分</w:t>
      </w:r>
      <w:r w:rsidRPr="003467D7">
        <w:rPr>
          <w:rFonts w:ascii="Times New Roman" w:hAnsi="Times New Roman"/>
          <w:szCs w:val="32"/>
        </w:rPr>
        <w:t>的</w:t>
      </w:r>
      <w:r w:rsidR="003B655C">
        <w:rPr>
          <w:rFonts w:ascii="Times New Roman" w:hAnsi="Times New Roman" w:hint="eastAsia"/>
          <w:szCs w:val="32"/>
        </w:rPr>
        <w:t>专属</w:t>
      </w:r>
      <w:r w:rsidR="009513A6">
        <w:rPr>
          <w:rFonts w:ascii="Times New Roman" w:hAnsi="Times New Roman" w:hint="eastAsia"/>
          <w:szCs w:val="32"/>
        </w:rPr>
        <w:t>农业保险</w:t>
      </w:r>
      <w:r w:rsidRPr="003467D7">
        <w:rPr>
          <w:rFonts w:ascii="Times New Roman" w:hAnsi="Times New Roman"/>
          <w:szCs w:val="32"/>
        </w:rPr>
        <w:t>保费，中央财政对中西部地区补贴</w:t>
      </w:r>
      <w:r w:rsidRPr="003467D7">
        <w:rPr>
          <w:rFonts w:ascii="Times New Roman" w:hAnsi="Times New Roman"/>
          <w:szCs w:val="32"/>
        </w:rPr>
        <w:t>47.5%</w:t>
      </w:r>
      <w:r w:rsidRPr="003467D7">
        <w:rPr>
          <w:rFonts w:ascii="Times New Roman" w:hAnsi="Times New Roman"/>
          <w:szCs w:val="32"/>
        </w:rPr>
        <w:t>、对东部地区补贴</w:t>
      </w:r>
      <w:r w:rsidRPr="003467D7">
        <w:rPr>
          <w:rFonts w:ascii="Times New Roman" w:hAnsi="Times New Roman"/>
          <w:szCs w:val="32"/>
        </w:rPr>
        <w:t>45%</w:t>
      </w:r>
      <w:r w:rsidRPr="003467D7">
        <w:rPr>
          <w:rFonts w:ascii="Times New Roman" w:hAnsi="Times New Roman"/>
          <w:szCs w:val="32"/>
        </w:rPr>
        <w:t>。</w:t>
      </w:r>
    </w:p>
    <w:sectPr w:rsidR="00CC6D64" w:rsidRPr="003467D7" w:rsidSect="00BA63DC">
      <w:footerReference w:type="even" r:id="rId6"/>
      <w:footerReference w:type="default" r:id="rId7"/>
      <w:pgSz w:w="11906" w:h="16838"/>
      <w:pgMar w:top="1644" w:right="1480" w:bottom="1984" w:left="1480" w:header="851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FC" w:rsidRDefault="00DB29FC">
      <w:pPr>
        <w:spacing w:line="240" w:lineRule="auto"/>
      </w:pPr>
      <w:r>
        <w:separator/>
      </w:r>
    </w:p>
  </w:endnote>
  <w:endnote w:type="continuationSeparator" w:id="1">
    <w:p w:rsidR="00DB29FC" w:rsidRDefault="00DB2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BA" w:rsidRDefault="00391BBA">
    <w:pPr>
      <w:pStyle w:val="a6"/>
      <w:framePr w:w="1596" w:wrap="around" w:vAnchor="text" w:hAnchor="page" w:x="1823" w:y="-310"/>
      <w:spacing w:line="240" w:lineRule="auto"/>
      <w:jc w:val="both"/>
      <w:rPr>
        <w:rStyle w:val="a3"/>
        <w:sz w:val="28"/>
      </w:rPr>
    </w:pPr>
    <w:r>
      <w:rPr>
        <w:rStyle w:val="a3"/>
        <w:rFonts w:ascii="仿宋_GB2312" w:hint="eastAsia"/>
        <w:sz w:val="28"/>
      </w:rPr>
      <w:t xml:space="preserve">— </w:t>
    </w:r>
    <w:r w:rsidR="006C329B"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 w:rsidR="006C329B">
      <w:rPr>
        <w:sz w:val="28"/>
      </w:rPr>
      <w:fldChar w:fldCharType="separate"/>
    </w:r>
    <w:r>
      <w:rPr>
        <w:rStyle w:val="a3"/>
        <w:sz w:val="28"/>
      </w:rPr>
      <w:t>2</w:t>
    </w:r>
    <w:r w:rsidR="006C329B">
      <w:rPr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ascii="仿宋_GB2312" w:hint="eastAsia"/>
        <w:sz w:val="28"/>
      </w:rPr>
      <w:t>—</w:t>
    </w:r>
  </w:p>
  <w:p w:rsidR="00391BBA" w:rsidRDefault="00391BBA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BA" w:rsidRDefault="00391BBA">
    <w:pPr>
      <w:pStyle w:val="a6"/>
      <w:framePr w:w="2055" w:wrap="around" w:vAnchor="text" w:hAnchor="page" w:x="8321" w:y="-310"/>
      <w:spacing w:line="0" w:lineRule="atLeast"/>
      <w:ind w:right="345"/>
      <w:jc w:val="right"/>
      <w:rPr>
        <w:rStyle w:val="a3"/>
        <w:sz w:val="28"/>
      </w:rPr>
    </w:pPr>
    <w:r>
      <w:rPr>
        <w:rStyle w:val="a3"/>
        <w:rFonts w:ascii="仿宋_GB2312" w:hint="eastAsia"/>
        <w:sz w:val="28"/>
      </w:rPr>
      <w:t xml:space="preserve">— </w:t>
    </w:r>
    <w:r w:rsidR="006C329B"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 w:rsidR="006C329B">
      <w:rPr>
        <w:sz w:val="28"/>
      </w:rPr>
      <w:fldChar w:fldCharType="separate"/>
    </w:r>
    <w:r w:rsidR="00341B72">
      <w:rPr>
        <w:rStyle w:val="a3"/>
        <w:noProof/>
        <w:sz w:val="28"/>
      </w:rPr>
      <w:t>1</w:t>
    </w:r>
    <w:r w:rsidR="006C329B">
      <w:rPr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ascii="仿宋_GB2312" w:hint="eastAsia"/>
        <w:sz w:val="28"/>
      </w:rPr>
      <w:t>—</w:t>
    </w:r>
  </w:p>
  <w:p w:rsidR="00391BBA" w:rsidRDefault="00391BBA">
    <w:pPr>
      <w:pStyle w:val="a6"/>
      <w:tabs>
        <w:tab w:val="clear" w:pos="8306"/>
      </w:tabs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FC" w:rsidRDefault="00DB29FC">
      <w:pPr>
        <w:spacing w:line="240" w:lineRule="auto"/>
      </w:pPr>
      <w:r>
        <w:separator/>
      </w:r>
    </w:p>
  </w:footnote>
  <w:footnote w:type="continuationSeparator" w:id="1">
    <w:p w:rsidR="00DB29FC" w:rsidRDefault="00DB29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427"/>
    <w:rsid w:val="00000B60"/>
    <w:rsid w:val="00006A64"/>
    <w:rsid w:val="00012268"/>
    <w:rsid w:val="00060AC9"/>
    <w:rsid w:val="000626AF"/>
    <w:rsid w:val="00073AC4"/>
    <w:rsid w:val="00096554"/>
    <w:rsid w:val="000A39F8"/>
    <w:rsid w:val="000B17C1"/>
    <w:rsid w:val="000C1A10"/>
    <w:rsid w:val="000C3525"/>
    <w:rsid w:val="000D3263"/>
    <w:rsid w:val="000E58F9"/>
    <w:rsid w:val="001210FA"/>
    <w:rsid w:val="001258D3"/>
    <w:rsid w:val="001454D5"/>
    <w:rsid w:val="00162E70"/>
    <w:rsid w:val="00163932"/>
    <w:rsid w:val="00184D41"/>
    <w:rsid w:val="00186578"/>
    <w:rsid w:val="00191465"/>
    <w:rsid w:val="0019565B"/>
    <w:rsid w:val="001972FB"/>
    <w:rsid w:val="001A7A7F"/>
    <w:rsid w:val="001B5E17"/>
    <w:rsid w:val="001C0415"/>
    <w:rsid w:val="001C1B56"/>
    <w:rsid w:val="001C69F3"/>
    <w:rsid w:val="001E16AF"/>
    <w:rsid w:val="001E16C7"/>
    <w:rsid w:val="001F6E44"/>
    <w:rsid w:val="00205FA9"/>
    <w:rsid w:val="00206BF3"/>
    <w:rsid w:val="0020774B"/>
    <w:rsid w:val="00225B76"/>
    <w:rsid w:val="00233AA5"/>
    <w:rsid w:val="002502AD"/>
    <w:rsid w:val="00254BC8"/>
    <w:rsid w:val="0026331F"/>
    <w:rsid w:val="00265642"/>
    <w:rsid w:val="00271862"/>
    <w:rsid w:val="0029604E"/>
    <w:rsid w:val="002B50C2"/>
    <w:rsid w:val="002C5EAF"/>
    <w:rsid w:val="002D0584"/>
    <w:rsid w:val="002D4662"/>
    <w:rsid w:val="002D5DDC"/>
    <w:rsid w:val="002F7CE1"/>
    <w:rsid w:val="003116BD"/>
    <w:rsid w:val="00340270"/>
    <w:rsid w:val="00341B72"/>
    <w:rsid w:val="00344C54"/>
    <w:rsid w:val="003467D7"/>
    <w:rsid w:val="00350721"/>
    <w:rsid w:val="0036535C"/>
    <w:rsid w:val="00366F6E"/>
    <w:rsid w:val="003873A3"/>
    <w:rsid w:val="003911A6"/>
    <w:rsid w:val="00391BBA"/>
    <w:rsid w:val="003A0792"/>
    <w:rsid w:val="003A7739"/>
    <w:rsid w:val="003B4A21"/>
    <w:rsid w:val="003B655C"/>
    <w:rsid w:val="003C7DCE"/>
    <w:rsid w:val="003E60DC"/>
    <w:rsid w:val="003F22B3"/>
    <w:rsid w:val="00421627"/>
    <w:rsid w:val="004337B3"/>
    <w:rsid w:val="00457E86"/>
    <w:rsid w:val="0046635C"/>
    <w:rsid w:val="00473895"/>
    <w:rsid w:val="00487B8F"/>
    <w:rsid w:val="00491CF3"/>
    <w:rsid w:val="004A4BF6"/>
    <w:rsid w:val="004A4DE3"/>
    <w:rsid w:val="004B05AD"/>
    <w:rsid w:val="004C30BE"/>
    <w:rsid w:val="004C576C"/>
    <w:rsid w:val="004D64CC"/>
    <w:rsid w:val="004E036F"/>
    <w:rsid w:val="004E7689"/>
    <w:rsid w:val="00500A69"/>
    <w:rsid w:val="00507066"/>
    <w:rsid w:val="00521E95"/>
    <w:rsid w:val="00524F21"/>
    <w:rsid w:val="005377EE"/>
    <w:rsid w:val="00546B92"/>
    <w:rsid w:val="00552EB3"/>
    <w:rsid w:val="005720FC"/>
    <w:rsid w:val="005752BF"/>
    <w:rsid w:val="005827D5"/>
    <w:rsid w:val="00591A72"/>
    <w:rsid w:val="005940B5"/>
    <w:rsid w:val="00597E60"/>
    <w:rsid w:val="005A088C"/>
    <w:rsid w:val="005A29AE"/>
    <w:rsid w:val="005A4C04"/>
    <w:rsid w:val="005A4FA3"/>
    <w:rsid w:val="005E0CD8"/>
    <w:rsid w:val="005F6373"/>
    <w:rsid w:val="005F72DD"/>
    <w:rsid w:val="00605AE9"/>
    <w:rsid w:val="00615605"/>
    <w:rsid w:val="00630CA5"/>
    <w:rsid w:val="0063345D"/>
    <w:rsid w:val="006455E3"/>
    <w:rsid w:val="006875AA"/>
    <w:rsid w:val="006C329B"/>
    <w:rsid w:val="006C4066"/>
    <w:rsid w:val="0070559E"/>
    <w:rsid w:val="00725C5A"/>
    <w:rsid w:val="00726427"/>
    <w:rsid w:val="007334BE"/>
    <w:rsid w:val="007503EA"/>
    <w:rsid w:val="00754DF8"/>
    <w:rsid w:val="00770A9C"/>
    <w:rsid w:val="00771A0D"/>
    <w:rsid w:val="00786E6B"/>
    <w:rsid w:val="007934BC"/>
    <w:rsid w:val="007C4C80"/>
    <w:rsid w:val="007C6EA5"/>
    <w:rsid w:val="007E0279"/>
    <w:rsid w:val="007E0F66"/>
    <w:rsid w:val="007E5224"/>
    <w:rsid w:val="008024D2"/>
    <w:rsid w:val="00811946"/>
    <w:rsid w:val="00820D01"/>
    <w:rsid w:val="00822E5D"/>
    <w:rsid w:val="00842A88"/>
    <w:rsid w:val="00842CB8"/>
    <w:rsid w:val="00845523"/>
    <w:rsid w:val="0085142D"/>
    <w:rsid w:val="00897874"/>
    <w:rsid w:val="008A151A"/>
    <w:rsid w:val="008A4EA8"/>
    <w:rsid w:val="008C44EC"/>
    <w:rsid w:val="008D310B"/>
    <w:rsid w:val="008E383F"/>
    <w:rsid w:val="00901DA5"/>
    <w:rsid w:val="00925C4C"/>
    <w:rsid w:val="00943A31"/>
    <w:rsid w:val="009513A6"/>
    <w:rsid w:val="00955829"/>
    <w:rsid w:val="0095738C"/>
    <w:rsid w:val="00960BE5"/>
    <w:rsid w:val="00961B00"/>
    <w:rsid w:val="00983D4B"/>
    <w:rsid w:val="00991886"/>
    <w:rsid w:val="009B0A29"/>
    <w:rsid w:val="009B2986"/>
    <w:rsid w:val="009B3503"/>
    <w:rsid w:val="009B5D87"/>
    <w:rsid w:val="009B66AB"/>
    <w:rsid w:val="009F109B"/>
    <w:rsid w:val="009F47EF"/>
    <w:rsid w:val="00A21A54"/>
    <w:rsid w:val="00A307F2"/>
    <w:rsid w:val="00A33CC1"/>
    <w:rsid w:val="00A54A23"/>
    <w:rsid w:val="00A629AD"/>
    <w:rsid w:val="00A65046"/>
    <w:rsid w:val="00A8275D"/>
    <w:rsid w:val="00AD0302"/>
    <w:rsid w:val="00AE4B5E"/>
    <w:rsid w:val="00B003D0"/>
    <w:rsid w:val="00B1518B"/>
    <w:rsid w:val="00B32E64"/>
    <w:rsid w:val="00B3420B"/>
    <w:rsid w:val="00B61A23"/>
    <w:rsid w:val="00B929B3"/>
    <w:rsid w:val="00BA63DC"/>
    <w:rsid w:val="00BB356C"/>
    <w:rsid w:val="00BF64A7"/>
    <w:rsid w:val="00C154B8"/>
    <w:rsid w:val="00C255CA"/>
    <w:rsid w:val="00C30DE9"/>
    <w:rsid w:val="00C37907"/>
    <w:rsid w:val="00C41F56"/>
    <w:rsid w:val="00C4272D"/>
    <w:rsid w:val="00C51533"/>
    <w:rsid w:val="00C72399"/>
    <w:rsid w:val="00C86C2D"/>
    <w:rsid w:val="00CA3B72"/>
    <w:rsid w:val="00CA6AE4"/>
    <w:rsid w:val="00CB2129"/>
    <w:rsid w:val="00CC1B4F"/>
    <w:rsid w:val="00CC6D64"/>
    <w:rsid w:val="00CD46A3"/>
    <w:rsid w:val="00CE4828"/>
    <w:rsid w:val="00CE661E"/>
    <w:rsid w:val="00CE6E98"/>
    <w:rsid w:val="00CF35FF"/>
    <w:rsid w:val="00CF42EB"/>
    <w:rsid w:val="00CF45C5"/>
    <w:rsid w:val="00D0623C"/>
    <w:rsid w:val="00D1229C"/>
    <w:rsid w:val="00D123CC"/>
    <w:rsid w:val="00D23E92"/>
    <w:rsid w:val="00D30BF1"/>
    <w:rsid w:val="00D70347"/>
    <w:rsid w:val="00D972D8"/>
    <w:rsid w:val="00DB29FC"/>
    <w:rsid w:val="00DB754A"/>
    <w:rsid w:val="00DC141A"/>
    <w:rsid w:val="00DC6257"/>
    <w:rsid w:val="00DE3541"/>
    <w:rsid w:val="00E12DAF"/>
    <w:rsid w:val="00E155BD"/>
    <w:rsid w:val="00E16406"/>
    <w:rsid w:val="00E25CAD"/>
    <w:rsid w:val="00E41966"/>
    <w:rsid w:val="00E65F62"/>
    <w:rsid w:val="00EA2682"/>
    <w:rsid w:val="00EB05C5"/>
    <w:rsid w:val="00ED08E4"/>
    <w:rsid w:val="00EE5D55"/>
    <w:rsid w:val="00EE6830"/>
    <w:rsid w:val="00EF6189"/>
    <w:rsid w:val="00EF660A"/>
    <w:rsid w:val="00F02439"/>
    <w:rsid w:val="00F135C7"/>
    <w:rsid w:val="00F136BF"/>
    <w:rsid w:val="00F14D34"/>
    <w:rsid w:val="00F20BD8"/>
    <w:rsid w:val="00F57B5A"/>
    <w:rsid w:val="00F64A49"/>
    <w:rsid w:val="00F714CC"/>
    <w:rsid w:val="00F80D6A"/>
    <w:rsid w:val="00F96BE1"/>
    <w:rsid w:val="00FC5888"/>
    <w:rsid w:val="033E45BA"/>
    <w:rsid w:val="0BB922A2"/>
    <w:rsid w:val="11F06161"/>
    <w:rsid w:val="12357A45"/>
    <w:rsid w:val="18B40B04"/>
    <w:rsid w:val="1A2C2647"/>
    <w:rsid w:val="4105235B"/>
    <w:rsid w:val="46704FFC"/>
    <w:rsid w:val="4D1E419F"/>
    <w:rsid w:val="52842FEF"/>
    <w:rsid w:val="542052D4"/>
    <w:rsid w:val="56787B90"/>
    <w:rsid w:val="59466053"/>
    <w:rsid w:val="5C365206"/>
    <w:rsid w:val="687B0A58"/>
    <w:rsid w:val="6B45300E"/>
    <w:rsid w:val="6E113FF3"/>
    <w:rsid w:val="79BB3D39"/>
    <w:rsid w:val="7DD208D8"/>
    <w:rsid w:val="7E9A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DC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/>
      <w:spacing w:val="-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A63DC"/>
  </w:style>
  <w:style w:type="character" w:customStyle="1" w:styleId="Char">
    <w:name w:val="正文文本 Char"/>
    <w:link w:val="a4"/>
    <w:qFormat/>
    <w:rsid w:val="00BA63DC"/>
    <w:rPr>
      <w:rFonts w:ascii="宋体" w:eastAsia="仿宋_GB2312" w:hAnsi="宋体" w:cs="Times New Roman"/>
      <w:spacing w:val="-2"/>
      <w:sz w:val="32"/>
      <w:szCs w:val="24"/>
    </w:rPr>
  </w:style>
  <w:style w:type="character" w:customStyle="1" w:styleId="Char0">
    <w:name w:val="页眉 Char"/>
    <w:link w:val="a5"/>
    <w:uiPriority w:val="99"/>
    <w:semiHidden/>
    <w:qFormat/>
    <w:rsid w:val="00BA63DC"/>
    <w:rPr>
      <w:rFonts w:ascii="宋体" w:eastAsia="仿宋_GB2312" w:hAnsi="宋体" w:cs="Times New Roman"/>
      <w:spacing w:val="-2"/>
      <w:sz w:val="18"/>
      <w:szCs w:val="18"/>
    </w:rPr>
  </w:style>
  <w:style w:type="character" w:customStyle="1" w:styleId="Char1">
    <w:name w:val="页脚 Char"/>
    <w:link w:val="a6"/>
    <w:qFormat/>
    <w:rsid w:val="00BA63DC"/>
    <w:rPr>
      <w:rFonts w:ascii="宋体" w:eastAsia="仿宋_GB2312" w:hAnsi="宋体" w:cs="Times New Roman"/>
      <w:spacing w:val="-2"/>
      <w:sz w:val="18"/>
      <w:szCs w:val="18"/>
    </w:rPr>
  </w:style>
  <w:style w:type="character" w:customStyle="1" w:styleId="Char2">
    <w:name w:val="批注框文本 Char"/>
    <w:link w:val="a7"/>
    <w:uiPriority w:val="99"/>
    <w:semiHidden/>
    <w:qFormat/>
    <w:rsid w:val="00BA63DC"/>
    <w:rPr>
      <w:rFonts w:ascii="宋体" w:eastAsia="仿宋_GB2312" w:hAnsi="宋体" w:cs="Times New Roman"/>
      <w:spacing w:val="-2"/>
      <w:sz w:val="18"/>
      <w:szCs w:val="18"/>
    </w:rPr>
  </w:style>
  <w:style w:type="paragraph" w:styleId="a4">
    <w:name w:val="Body Text"/>
    <w:basedOn w:val="a"/>
    <w:link w:val="Char"/>
    <w:qFormat/>
    <w:rsid w:val="00BA63DC"/>
    <w:rPr>
      <w:kern w:val="0"/>
    </w:rPr>
  </w:style>
  <w:style w:type="paragraph" w:styleId="a7">
    <w:name w:val="Balloon Text"/>
    <w:basedOn w:val="a"/>
    <w:link w:val="Char2"/>
    <w:uiPriority w:val="99"/>
    <w:unhideWhenUsed/>
    <w:qFormat/>
    <w:rsid w:val="00BA63DC"/>
    <w:pPr>
      <w:spacing w:line="240" w:lineRule="auto"/>
    </w:pPr>
    <w:rPr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BA63D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Char1"/>
    <w:qFormat/>
    <w:rsid w:val="00BA63DC"/>
    <w:pPr>
      <w:tabs>
        <w:tab w:val="center" w:pos="4153"/>
        <w:tab w:val="right" w:pos="8306"/>
      </w:tabs>
      <w:jc w:val="left"/>
    </w:pPr>
    <w:rPr>
      <w:kern w:val="0"/>
      <w:sz w:val="18"/>
      <w:szCs w:val="18"/>
    </w:rPr>
  </w:style>
  <w:style w:type="table" w:styleId="a8">
    <w:name w:val="Table Grid"/>
    <w:basedOn w:val="a1"/>
    <w:uiPriority w:val="59"/>
    <w:rsid w:val="00BA63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吴迪晓</dc:creator>
  <cp:lastModifiedBy>申婷婷</cp:lastModifiedBy>
  <cp:revision>4</cp:revision>
  <cp:lastPrinted>2017-05-04T11:08:00Z</cp:lastPrinted>
  <dcterms:created xsi:type="dcterms:W3CDTF">2017-05-04T11:24:00Z</dcterms:created>
  <dcterms:modified xsi:type="dcterms:W3CDTF">2017-05-04T11:24:00Z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