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04CA1" w:rsidRDefault="00804CA1" w:rsidP="00516895">
      <w:pPr>
        <w:spacing w:line="600" w:lineRule="exact"/>
        <w:rPr>
          <w:rFonts w:ascii="黑体" w:eastAsia="黑体" w:hAnsi="黑体"/>
          <w:sz w:val="32"/>
          <w:szCs w:val="32"/>
        </w:rPr>
      </w:pPr>
      <w:r w:rsidRPr="00804CA1">
        <w:rPr>
          <w:rFonts w:ascii="黑体" w:eastAsia="黑体" w:hAnsi="黑体" w:hint="eastAsia"/>
          <w:sz w:val="32"/>
          <w:szCs w:val="32"/>
        </w:rPr>
        <w:t>附件</w:t>
      </w:r>
      <w:r w:rsidR="00B6661C">
        <w:rPr>
          <w:rFonts w:ascii="黑体" w:eastAsia="黑体" w:hAnsi="黑体" w:hint="eastAsia"/>
          <w:sz w:val="32"/>
          <w:szCs w:val="32"/>
        </w:rPr>
        <w:t>2</w:t>
      </w:r>
    </w:p>
    <w:p w:rsidR="00804CA1" w:rsidRPr="00804CA1" w:rsidRDefault="00804CA1" w:rsidP="00516895">
      <w:pPr>
        <w:spacing w:line="600" w:lineRule="exact"/>
        <w:rPr>
          <w:rFonts w:ascii="黑体" w:eastAsia="黑体" w:hAnsi="黑体"/>
          <w:sz w:val="32"/>
          <w:szCs w:val="32"/>
        </w:rPr>
      </w:pPr>
    </w:p>
    <w:p w:rsidR="00804CA1" w:rsidRDefault="00804CA1" w:rsidP="00516895">
      <w:pPr>
        <w:spacing w:line="600" w:lineRule="exact"/>
        <w:jc w:val="center"/>
        <w:rPr>
          <w:rFonts w:ascii="方正小标宋简体" w:eastAsia="方正小标宋简体"/>
          <w:spacing w:val="-12"/>
          <w:sz w:val="44"/>
          <w:szCs w:val="44"/>
        </w:rPr>
      </w:pPr>
      <w:r w:rsidRPr="00E54106">
        <w:rPr>
          <w:rFonts w:ascii="方正小标宋简体" w:eastAsia="方正小标宋简体" w:hint="eastAsia"/>
          <w:spacing w:val="-12"/>
          <w:sz w:val="44"/>
          <w:szCs w:val="44"/>
        </w:rPr>
        <w:t>部分</w:t>
      </w:r>
      <w:r w:rsidR="00B6661C">
        <w:rPr>
          <w:rFonts w:ascii="方正小标宋简体" w:eastAsia="方正小标宋简体" w:hint="eastAsia"/>
          <w:spacing w:val="-12"/>
          <w:sz w:val="44"/>
          <w:szCs w:val="44"/>
        </w:rPr>
        <w:t>不合格</w:t>
      </w:r>
      <w:r w:rsidRPr="00E54106">
        <w:rPr>
          <w:rFonts w:ascii="方正小标宋简体" w:eastAsia="方正小标宋简体" w:hint="eastAsia"/>
          <w:spacing w:val="-12"/>
          <w:sz w:val="44"/>
          <w:szCs w:val="44"/>
        </w:rPr>
        <w:t>项目的</w:t>
      </w:r>
      <w:r w:rsidR="00B6661C">
        <w:rPr>
          <w:rFonts w:ascii="方正小标宋简体" w:eastAsia="方正小标宋简体" w:hint="eastAsia"/>
          <w:spacing w:val="-12"/>
          <w:sz w:val="44"/>
          <w:szCs w:val="44"/>
        </w:rPr>
        <w:t>小知识</w:t>
      </w:r>
    </w:p>
    <w:p w:rsidR="00516895" w:rsidRDefault="00516895" w:rsidP="00516895">
      <w:pPr>
        <w:spacing w:line="600" w:lineRule="exact"/>
        <w:jc w:val="center"/>
        <w:rPr>
          <w:rFonts w:ascii="方正小标宋简体" w:eastAsia="方正小标宋简体"/>
          <w:spacing w:val="-12"/>
          <w:sz w:val="44"/>
          <w:szCs w:val="44"/>
        </w:rPr>
      </w:pPr>
    </w:p>
    <w:p w:rsidR="00EB035D" w:rsidRDefault="00EB035D" w:rsidP="00516895">
      <w:pPr>
        <w:spacing w:line="600" w:lineRule="exact"/>
        <w:ind w:firstLineChars="200" w:firstLine="640"/>
        <w:rPr>
          <w:rFonts w:ascii="黑体" w:eastAsia="黑体" w:hAnsi="黑体"/>
          <w:sz w:val="32"/>
          <w:szCs w:val="32"/>
        </w:rPr>
      </w:pPr>
      <w:r w:rsidRPr="00EB035D">
        <w:rPr>
          <w:rFonts w:ascii="黑体" w:eastAsia="黑体" w:hAnsi="黑体" w:hint="eastAsia"/>
          <w:sz w:val="32"/>
          <w:szCs w:val="32"/>
        </w:rPr>
        <w:t>一、菌落总数</w:t>
      </w:r>
    </w:p>
    <w:p w:rsidR="00976C94" w:rsidRPr="00432042" w:rsidRDefault="00976C94" w:rsidP="00B65568">
      <w:pPr>
        <w:spacing w:line="600" w:lineRule="exact"/>
        <w:ind w:firstLineChars="200" w:firstLine="640"/>
        <w:rPr>
          <w:rFonts w:ascii="Times New Roman" w:eastAsia="仿宋_GB2312" w:hAnsi="Times New Roman" w:cs="Times New Roman"/>
          <w:sz w:val="32"/>
          <w:szCs w:val="32"/>
        </w:rPr>
      </w:pPr>
      <w:r w:rsidRPr="00432042">
        <w:rPr>
          <w:rFonts w:ascii="Times New Roman" w:eastAsia="仿宋_GB2312" w:hAnsi="Times New Roman" w:cs="Times New Roman"/>
          <w:color w:val="000000"/>
          <w:sz w:val="32"/>
          <w:szCs w:val="32"/>
        </w:rPr>
        <w:t>菌落总数是指示性微生物指标，并非致病菌指标。主要用来评价食品清洁度，反映食品在生产过程中是否符合卫生要求。</w:t>
      </w:r>
      <w:r w:rsidRPr="00432042">
        <w:rPr>
          <w:rFonts w:ascii="Times New Roman" w:eastAsia="仿宋_GB2312" w:hAnsi="Times New Roman" w:cs="Times New Roman"/>
          <w:sz w:val="32"/>
          <w:szCs w:val="32"/>
        </w:rPr>
        <w:t>《食品安全国家标准</w:t>
      </w:r>
      <w:r w:rsidRPr="00432042">
        <w:rPr>
          <w:rFonts w:ascii="Times New Roman" w:eastAsia="仿宋_GB2312" w:hAnsi="Times New Roman" w:cs="Times New Roman"/>
          <w:sz w:val="32"/>
          <w:szCs w:val="32"/>
        </w:rPr>
        <w:t xml:space="preserve"> </w:t>
      </w:r>
      <w:r w:rsidRPr="00432042">
        <w:rPr>
          <w:rFonts w:ascii="Times New Roman" w:eastAsia="仿宋_GB2312" w:hAnsi="Times New Roman" w:cs="Times New Roman"/>
          <w:sz w:val="32"/>
          <w:szCs w:val="32"/>
        </w:rPr>
        <w:t>糕点、面包》（</w:t>
      </w:r>
      <w:r w:rsidRPr="00432042">
        <w:rPr>
          <w:rFonts w:ascii="Times New Roman" w:eastAsia="仿宋_GB2312" w:hAnsi="Times New Roman" w:cs="Times New Roman"/>
          <w:sz w:val="32"/>
          <w:szCs w:val="32"/>
        </w:rPr>
        <w:t>GB 7099</w:t>
      </w:r>
      <w:r>
        <w:rPr>
          <w:rFonts w:ascii="Times New Roman" w:eastAsia="仿宋_GB2312" w:hAnsi="Times New Roman" w:cs="Times New Roman" w:hint="eastAsia"/>
          <w:sz w:val="32"/>
          <w:szCs w:val="32"/>
        </w:rPr>
        <w:t>—</w:t>
      </w:r>
      <w:r w:rsidRPr="00432042">
        <w:rPr>
          <w:rFonts w:ascii="Times New Roman" w:eastAsia="仿宋_GB2312" w:hAnsi="Times New Roman" w:cs="Times New Roman"/>
          <w:sz w:val="32"/>
          <w:szCs w:val="32"/>
        </w:rPr>
        <w:t>2015</w:t>
      </w:r>
      <w:r w:rsidRPr="00432042">
        <w:rPr>
          <w:rFonts w:ascii="Times New Roman" w:eastAsia="仿宋_GB2312" w:hAnsi="Times New Roman" w:cs="Times New Roman"/>
          <w:sz w:val="32"/>
          <w:szCs w:val="32"/>
        </w:rPr>
        <w:t>）</w:t>
      </w:r>
      <w:r w:rsidRPr="00432042">
        <w:rPr>
          <w:rFonts w:ascii="Times New Roman" w:eastAsia="仿宋_GB2312" w:hAnsi="Times New Roman" w:cs="Times New Roman"/>
          <w:color w:val="000000"/>
          <w:sz w:val="32"/>
          <w:szCs w:val="32"/>
        </w:rPr>
        <w:t>对</w:t>
      </w:r>
      <w:r w:rsidRPr="00432042">
        <w:rPr>
          <w:rFonts w:ascii="Times New Roman" w:eastAsia="仿宋_GB2312" w:hAnsi="Times New Roman" w:cs="Times New Roman"/>
          <w:sz w:val="32"/>
          <w:szCs w:val="32"/>
        </w:rPr>
        <w:t>月饼中</w:t>
      </w:r>
      <w:r w:rsidRPr="00432042">
        <w:rPr>
          <w:rFonts w:ascii="Times New Roman" w:eastAsia="仿宋_GB2312" w:hAnsi="Times New Roman" w:cs="Times New Roman"/>
          <w:color w:val="000000"/>
          <w:sz w:val="32"/>
          <w:szCs w:val="32"/>
        </w:rPr>
        <w:t>的菌落总数规定</w:t>
      </w:r>
      <w:r w:rsidRPr="00432042">
        <w:rPr>
          <w:rFonts w:ascii="Times New Roman" w:eastAsia="仿宋_GB2312" w:hAnsi="Times New Roman" w:cs="Times New Roman"/>
          <w:color w:val="000000"/>
          <w:sz w:val="32"/>
          <w:szCs w:val="32"/>
        </w:rPr>
        <w:t>5</w:t>
      </w:r>
      <w:r w:rsidRPr="00432042">
        <w:rPr>
          <w:rFonts w:ascii="Times New Roman" w:eastAsia="仿宋_GB2312" w:hAnsi="Times New Roman" w:cs="Times New Roman"/>
          <w:color w:val="000000"/>
          <w:sz w:val="32"/>
          <w:szCs w:val="32"/>
        </w:rPr>
        <w:t>次检测结果均不超过</w:t>
      </w:r>
      <w:r w:rsidRPr="00432042">
        <w:rPr>
          <w:rFonts w:ascii="Times New Roman" w:eastAsia="仿宋_GB2312" w:hAnsi="Times New Roman" w:cs="Times New Roman"/>
          <w:color w:val="000000"/>
          <w:sz w:val="32"/>
          <w:szCs w:val="32"/>
        </w:rPr>
        <w:t>100000CFU/g</w:t>
      </w:r>
      <w:r w:rsidRPr="00432042">
        <w:rPr>
          <w:rFonts w:ascii="Times New Roman" w:eastAsia="仿宋_GB2312" w:hAnsi="Times New Roman" w:cs="Times New Roman"/>
          <w:color w:val="000000"/>
          <w:sz w:val="32"/>
          <w:szCs w:val="32"/>
        </w:rPr>
        <w:t>且至少</w:t>
      </w:r>
      <w:r w:rsidRPr="00432042">
        <w:rPr>
          <w:rFonts w:ascii="Times New Roman" w:eastAsia="仿宋_GB2312" w:hAnsi="Times New Roman" w:cs="Times New Roman"/>
          <w:color w:val="000000"/>
          <w:sz w:val="32"/>
          <w:szCs w:val="32"/>
        </w:rPr>
        <w:t>3</w:t>
      </w:r>
      <w:r w:rsidRPr="00432042">
        <w:rPr>
          <w:rFonts w:ascii="Times New Roman" w:eastAsia="仿宋_GB2312" w:hAnsi="Times New Roman" w:cs="Times New Roman"/>
          <w:color w:val="000000"/>
          <w:sz w:val="32"/>
          <w:szCs w:val="32"/>
        </w:rPr>
        <w:t>次检测结果不超过</w:t>
      </w:r>
      <w:r w:rsidRPr="00432042">
        <w:rPr>
          <w:rFonts w:ascii="Times New Roman" w:eastAsia="仿宋_GB2312" w:hAnsi="Times New Roman" w:cs="Times New Roman"/>
          <w:color w:val="000000"/>
          <w:sz w:val="32"/>
          <w:szCs w:val="32"/>
        </w:rPr>
        <w:t>10000CFU/g</w:t>
      </w:r>
      <w:r w:rsidRPr="00432042">
        <w:rPr>
          <w:rFonts w:ascii="Times New Roman" w:eastAsia="仿宋_GB2312" w:hAnsi="Times New Roman" w:cs="Times New Roman"/>
          <w:color w:val="000000"/>
          <w:sz w:val="32"/>
          <w:szCs w:val="32"/>
        </w:rPr>
        <w:t>。</w:t>
      </w:r>
      <w:r w:rsidRPr="00432042">
        <w:rPr>
          <w:rFonts w:ascii="Times New Roman" w:eastAsia="仿宋_GB2312" w:hAnsi="Times New Roman" w:cs="Times New Roman"/>
          <w:sz w:val="32"/>
          <w:szCs w:val="32"/>
        </w:rPr>
        <w:t>菌落总数超标说明企业可能未按要求严格控制生产加工过程的卫生条件，产品受到了来自原料、包材、人员、设备等方面的污染；还有可能与产品包装密封不严，储运条件控制不当等有关。</w:t>
      </w:r>
    </w:p>
    <w:p w:rsidR="005F3083" w:rsidRDefault="005F3083" w:rsidP="00B65568">
      <w:pPr>
        <w:spacing w:line="600" w:lineRule="exact"/>
        <w:ind w:firstLineChars="200" w:firstLine="640"/>
        <w:rPr>
          <w:rFonts w:ascii="黑体" w:eastAsia="黑体" w:hAnsi="黑体" w:cs="Times New Roman"/>
          <w:sz w:val="32"/>
          <w:szCs w:val="32"/>
        </w:rPr>
      </w:pPr>
      <w:r w:rsidRPr="00E75233">
        <w:rPr>
          <w:rFonts w:ascii="黑体" w:eastAsia="黑体" w:hAnsi="黑体" w:cs="Times New Roman" w:hint="eastAsia"/>
          <w:sz w:val="32"/>
          <w:szCs w:val="32"/>
        </w:rPr>
        <w:t>二、防腐剂各自用量占其最大使用量比例之</w:t>
      </w:r>
      <w:proofErr w:type="gramStart"/>
      <w:r w:rsidRPr="00E75233">
        <w:rPr>
          <w:rFonts w:ascii="黑体" w:eastAsia="黑体" w:hAnsi="黑体" w:cs="Times New Roman" w:hint="eastAsia"/>
          <w:sz w:val="32"/>
          <w:szCs w:val="32"/>
        </w:rPr>
        <w:t>和</w:t>
      </w:r>
      <w:proofErr w:type="gramEnd"/>
    </w:p>
    <w:p w:rsidR="005F3083" w:rsidRPr="009C78F5" w:rsidRDefault="005F3083" w:rsidP="00B65568">
      <w:pPr>
        <w:spacing w:line="600" w:lineRule="exact"/>
        <w:ind w:left="1" w:firstLineChars="200" w:firstLine="640"/>
        <w:textAlignment w:val="baseline"/>
        <w:rPr>
          <w:rFonts w:ascii="仿宋_GB2312" w:eastAsia="仿宋_GB2312" w:hAnsi="宋体"/>
          <w:kern w:val="0"/>
          <w:sz w:val="32"/>
          <w:szCs w:val="32"/>
        </w:rPr>
      </w:pPr>
      <w:r w:rsidRPr="0011343E">
        <w:rPr>
          <w:rFonts w:ascii="仿宋_GB2312" w:eastAsia="仿宋_GB2312" w:hint="eastAsia"/>
          <w:sz w:val="32"/>
          <w:szCs w:val="32"/>
        </w:rPr>
        <w:t>防腐剂</w:t>
      </w:r>
      <w:r w:rsidRPr="0011343E">
        <w:rPr>
          <w:rFonts w:ascii="仿宋_GB2312" w:eastAsia="仿宋_GB2312"/>
          <w:sz w:val="32"/>
          <w:szCs w:val="32"/>
        </w:rPr>
        <w:t>是指天然或合成的</w:t>
      </w:r>
      <w:hyperlink r:id="rId9" w:tgtFrame="_blank" w:history="1">
        <w:r w:rsidRPr="0011343E">
          <w:rPr>
            <w:rFonts w:ascii="仿宋_GB2312" w:eastAsia="仿宋_GB2312"/>
            <w:sz w:val="32"/>
            <w:szCs w:val="32"/>
          </w:rPr>
          <w:t>化学</w:t>
        </w:r>
      </w:hyperlink>
      <w:r w:rsidRPr="0011343E">
        <w:rPr>
          <w:rFonts w:ascii="仿宋_GB2312" w:eastAsia="仿宋_GB2312"/>
          <w:sz w:val="32"/>
          <w:szCs w:val="32"/>
        </w:rPr>
        <w:t>成分，用于加入食品以延迟微生物生长或化学</w:t>
      </w:r>
      <w:hyperlink r:id="rId10" w:tgtFrame="_blank" w:history="1">
        <w:r w:rsidRPr="0011343E">
          <w:rPr>
            <w:rFonts w:ascii="仿宋_GB2312" w:eastAsia="仿宋_GB2312"/>
            <w:sz w:val="32"/>
            <w:szCs w:val="32"/>
          </w:rPr>
          <w:t>变化</w:t>
        </w:r>
      </w:hyperlink>
      <w:r w:rsidRPr="0011343E">
        <w:rPr>
          <w:rFonts w:ascii="仿宋_GB2312" w:eastAsia="仿宋_GB2312"/>
          <w:sz w:val="32"/>
          <w:szCs w:val="32"/>
        </w:rPr>
        <w:t>引起的腐败。</w:t>
      </w:r>
      <w:r>
        <w:rPr>
          <w:rFonts w:ascii="仿宋_GB2312" w:eastAsia="仿宋_GB2312" w:hint="eastAsia"/>
          <w:sz w:val="32"/>
          <w:szCs w:val="32"/>
        </w:rPr>
        <w:t>《食品安全国家标准 食品添加剂使用标准》</w:t>
      </w:r>
      <w:r w:rsidRPr="00B6661C">
        <w:rPr>
          <w:rFonts w:ascii="Times New Roman" w:eastAsia="仿宋_GB2312" w:hAnsi="Times New Roman" w:cs="Times New Roman"/>
          <w:sz w:val="32"/>
          <w:szCs w:val="32"/>
        </w:rPr>
        <w:t>（</w:t>
      </w:r>
      <w:r w:rsidRPr="00B6661C">
        <w:rPr>
          <w:rFonts w:ascii="Times New Roman" w:eastAsia="仿宋_GB2312" w:hAnsi="Times New Roman" w:cs="Times New Roman"/>
          <w:sz w:val="32"/>
          <w:szCs w:val="32"/>
        </w:rPr>
        <w:t>GB 2760</w:t>
      </w:r>
      <w:r w:rsidR="00EA3880" w:rsidRPr="00B6661C">
        <w:rPr>
          <w:rFonts w:ascii="Times New Roman" w:eastAsia="仿宋_GB2312" w:hAnsi="Times New Roman" w:cs="Times New Roman"/>
          <w:color w:val="000000"/>
          <w:sz w:val="32"/>
          <w:szCs w:val="32"/>
        </w:rPr>
        <w:t>—</w:t>
      </w:r>
      <w:r w:rsidRPr="00B6661C">
        <w:rPr>
          <w:rFonts w:ascii="Times New Roman" w:eastAsia="仿宋_GB2312" w:hAnsi="Times New Roman" w:cs="Times New Roman"/>
          <w:sz w:val="32"/>
          <w:szCs w:val="32"/>
        </w:rPr>
        <w:t>2014</w:t>
      </w:r>
      <w:r w:rsidRPr="00B6661C">
        <w:rPr>
          <w:rFonts w:ascii="Times New Roman" w:eastAsia="仿宋_GB2312" w:hAnsi="Times New Roman" w:cs="Times New Roman"/>
          <w:sz w:val="32"/>
          <w:szCs w:val="32"/>
        </w:rPr>
        <w:t>）</w:t>
      </w:r>
      <w:r w:rsidRPr="005D7D45">
        <w:rPr>
          <w:rFonts w:ascii="仿宋_GB2312" w:eastAsia="仿宋_GB2312" w:hint="eastAsia"/>
          <w:sz w:val="32"/>
          <w:szCs w:val="32"/>
        </w:rPr>
        <w:t>中规定</w:t>
      </w:r>
      <w:r w:rsidR="00B6661C">
        <w:rPr>
          <w:rFonts w:ascii="仿宋_GB2312" w:eastAsia="仿宋_GB2312" w:hint="eastAsia"/>
          <w:sz w:val="32"/>
          <w:szCs w:val="32"/>
        </w:rPr>
        <w:t>，</w:t>
      </w:r>
      <w:r w:rsidRPr="0011343E">
        <w:rPr>
          <w:rFonts w:ascii="仿宋_GB2312" w:eastAsia="仿宋_GB2312" w:hint="eastAsia"/>
          <w:sz w:val="32"/>
          <w:szCs w:val="32"/>
        </w:rPr>
        <w:t>防腐剂在混合使用时,各自用量占其最大使用量的比例之和不应超过</w:t>
      </w:r>
      <w:r>
        <w:rPr>
          <w:rFonts w:ascii="仿宋_GB2312" w:eastAsia="仿宋_GB2312" w:hint="eastAsia"/>
          <w:sz w:val="32"/>
          <w:szCs w:val="32"/>
        </w:rPr>
        <w:t xml:space="preserve"> 1</w:t>
      </w:r>
      <w:r w:rsidRPr="0011343E">
        <w:rPr>
          <w:rFonts w:ascii="仿宋_GB2312" w:eastAsia="仿宋_GB2312" w:hint="eastAsia"/>
          <w:sz w:val="32"/>
          <w:szCs w:val="32"/>
        </w:rPr>
        <w:t>。</w:t>
      </w:r>
      <w:r w:rsidR="00A635C2" w:rsidRPr="00E7669A">
        <w:rPr>
          <w:rFonts w:ascii="仿宋_GB2312" w:eastAsia="仿宋_GB2312" w:hint="eastAsia"/>
          <w:sz w:val="32"/>
          <w:szCs w:val="32"/>
        </w:rPr>
        <w:t>月饼</w:t>
      </w:r>
      <w:r>
        <w:rPr>
          <w:rFonts w:ascii="仿宋_GB2312" w:eastAsia="仿宋_GB2312" w:hint="eastAsia"/>
          <w:sz w:val="32"/>
          <w:szCs w:val="32"/>
        </w:rPr>
        <w:t>中</w:t>
      </w:r>
      <w:r w:rsidRPr="00E438EF">
        <w:rPr>
          <w:rFonts w:ascii="仿宋_GB2312" w:eastAsia="仿宋_GB2312" w:hint="eastAsia"/>
          <w:sz w:val="32"/>
          <w:szCs w:val="32"/>
        </w:rPr>
        <w:t>防腐剂各自用量占其最大使用量比例之和</w:t>
      </w:r>
      <w:r>
        <w:rPr>
          <w:rFonts w:ascii="仿宋_GB2312" w:eastAsia="仿宋_GB2312" w:hint="eastAsia"/>
          <w:sz w:val="32"/>
          <w:szCs w:val="32"/>
        </w:rPr>
        <w:t>超标可能是企业在生产加工过程中未严格控制各防腐剂的用量造成的。防腐剂</w:t>
      </w:r>
      <w:r w:rsidRPr="00E438EF">
        <w:rPr>
          <w:rFonts w:ascii="仿宋_GB2312" w:eastAsia="仿宋_GB2312"/>
          <w:sz w:val="32"/>
          <w:szCs w:val="32"/>
        </w:rPr>
        <w:t>使用不当会有一定副效应，长期过量摄入会对消费者的身体</w:t>
      </w:r>
      <w:hyperlink r:id="rId11" w:tgtFrame="_blank" w:history="1">
        <w:r w:rsidRPr="00E438EF">
          <w:rPr>
            <w:rFonts w:ascii="仿宋_GB2312" w:eastAsia="仿宋_GB2312"/>
            <w:sz w:val="32"/>
            <w:szCs w:val="32"/>
          </w:rPr>
          <w:t>健康</w:t>
        </w:r>
      </w:hyperlink>
      <w:r w:rsidRPr="00E438EF">
        <w:rPr>
          <w:rFonts w:ascii="仿宋_GB2312" w:eastAsia="仿宋_GB2312"/>
          <w:sz w:val="32"/>
          <w:szCs w:val="32"/>
        </w:rPr>
        <w:t>造成一定损害。</w:t>
      </w:r>
    </w:p>
    <w:p w:rsidR="00FA6BE0" w:rsidRDefault="00FA6BE0" w:rsidP="00B65568">
      <w:pPr>
        <w:spacing w:line="600" w:lineRule="exact"/>
        <w:ind w:firstLineChars="200" w:firstLine="640"/>
        <w:rPr>
          <w:rFonts w:ascii="黑体" w:eastAsia="黑体" w:hAnsi="黑体"/>
          <w:sz w:val="32"/>
          <w:szCs w:val="32"/>
        </w:rPr>
      </w:pPr>
    </w:p>
    <w:p w:rsidR="005F3083" w:rsidRPr="00FB5CDD" w:rsidRDefault="005F3083" w:rsidP="00B65568">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FB5CDD">
        <w:rPr>
          <w:rFonts w:ascii="黑体" w:eastAsia="黑体" w:hAnsi="黑体" w:hint="eastAsia"/>
          <w:sz w:val="32"/>
          <w:szCs w:val="32"/>
        </w:rPr>
        <w:t>酸价</w:t>
      </w:r>
    </w:p>
    <w:p w:rsidR="005F3083" w:rsidRPr="00DC7CCF" w:rsidRDefault="005F3083" w:rsidP="00B65568">
      <w:pPr>
        <w:pStyle w:val="a5"/>
        <w:spacing w:line="600" w:lineRule="exact"/>
        <w:ind w:firstLine="640"/>
        <w:rPr>
          <w:rFonts w:ascii="仿宋_GB2312" w:eastAsia="仿宋_GB2312"/>
          <w:sz w:val="32"/>
          <w:szCs w:val="32"/>
        </w:rPr>
      </w:pPr>
      <w:r w:rsidRPr="000F4094">
        <w:rPr>
          <w:rFonts w:ascii="仿宋_GB2312" w:eastAsia="仿宋_GB2312"/>
          <w:sz w:val="32"/>
          <w:szCs w:val="32"/>
        </w:rPr>
        <w:t>酸价主要反映食品中的油脂酸败程度。</w:t>
      </w:r>
      <w:r w:rsidRPr="00026069">
        <w:rPr>
          <w:rFonts w:ascii="仿宋_GB2312" w:eastAsia="仿宋_GB2312" w:hint="eastAsia"/>
          <w:sz w:val="32"/>
          <w:szCs w:val="32"/>
        </w:rPr>
        <w:t>《</w:t>
      </w:r>
      <w:r w:rsidRPr="00026069">
        <w:rPr>
          <w:rFonts w:ascii="仿宋_GB2312" w:eastAsia="仿宋_GB2312"/>
          <w:sz w:val="32"/>
          <w:szCs w:val="32"/>
        </w:rPr>
        <w:t>食品安全国家标准 糕点、面包</w:t>
      </w:r>
      <w:r w:rsidRPr="00026069">
        <w:rPr>
          <w:rFonts w:ascii="仿宋_GB2312" w:eastAsia="仿宋_GB2312" w:hint="eastAsia"/>
          <w:sz w:val="32"/>
          <w:szCs w:val="32"/>
        </w:rPr>
        <w:t>》</w:t>
      </w:r>
      <w:r w:rsidRPr="00B6661C">
        <w:rPr>
          <w:rFonts w:ascii="Times New Roman" w:eastAsia="仿宋_GB2312" w:hAnsi="Times New Roman" w:cs="Times New Roman"/>
          <w:sz w:val="32"/>
          <w:szCs w:val="32"/>
        </w:rPr>
        <w:t>（</w:t>
      </w:r>
      <w:r w:rsidRPr="00B6661C">
        <w:rPr>
          <w:rFonts w:ascii="Times New Roman" w:eastAsia="仿宋_GB2312" w:hAnsi="Times New Roman" w:cs="Times New Roman"/>
          <w:sz w:val="32"/>
          <w:szCs w:val="32"/>
        </w:rPr>
        <w:t>GB 7099</w:t>
      </w:r>
      <w:r w:rsidR="00EA3880" w:rsidRPr="00B6661C">
        <w:rPr>
          <w:rFonts w:ascii="Times New Roman" w:eastAsia="仿宋_GB2312" w:hAnsi="Times New Roman" w:cs="Times New Roman"/>
          <w:sz w:val="32"/>
          <w:szCs w:val="32"/>
        </w:rPr>
        <w:t>—</w:t>
      </w:r>
      <w:r w:rsidRPr="00B6661C">
        <w:rPr>
          <w:rFonts w:ascii="Times New Roman" w:eastAsia="仿宋_GB2312" w:hAnsi="Times New Roman" w:cs="Times New Roman"/>
          <w:sz w:val="32"/>
          <w:szCs w:val="32"/>
        </w:rPr>
        <w:t>2015</w:t>
      </w:r>
      <w:r w:rsidRPr="00B6661C">
        <w:rPr>
          <w:rFonts w:ascii="Times New Roman" w:eastAsia="仿宋_GB2312" w:hAnsi="Times New Roman" w:cs="Times New Roman"/>
          <w:sz w:val="32"/>
          <w:szCs w:val="32"/>
        </w:rPr>
        <w:t>）</w:t>
      </w:r>
      <w:r>
        <w:rPr>
          <w:rFonts w:ascii="仿宋_GB2312" w:eastAsia="仿宋_GB2312" w:hint="eastAsia"/>
          <w:sz w:val="32"/>
          <w:szCs w:val="32"/>
        </w:rPr>
        <w:t>中</w:t>
      </w:r>
      <w:r w:rsidRPr="00026069">
        <w:rPr>
          <w:rFonts w:ascii="仿宋_GB2312" w:eastAsia="仿宋_GB2312" w:hint="eastAsia"/>
          <w:sz w:val="32"/>
          <w:szCs w:val="32"/>
        </w:rPr>
        <w:t>规定</w:t>
      </w:r>
      <w:r w:rsidR="00B6661C">
        <w:rPr>
          <w:rFonts w:ascii="仿宋_GB2312" w:eastAsia="仿宋_GB2312" w:hint="eastAsia"/>
          <w:sz w:val="32"/>
          <w:szCs w:val="32"/>
        </w:rPr>
        <w:t>，</w:t>
      </w:r>
      <w:r w:rsidR="00A635C2" w:rsidRPr="00E7669A">
        <w:rPr>
          <w:rFonts w:ascii="仿宋_GB2312" w:eastAsia="仿宋_GB2312" w:hint="eastAsia"/>
          <w:sz w:val="32"/>
          <w:szCs w:val="32"/>
        </w:rPr>
        <w:t>月饼</w:t>
      </w:r>
      <w:r w:rsidRPr="00026069">
        <w:rPr>
          <w:rFonts w:ascii="仿宋_GB2312" w:eastAsia="仿宋_GB2312" w:hint="eastAsia"/>
          <w:sz w:val="32"/>
          <w:szCs w:val="32"/>
        </w:rPr>
        <w:t>中的酸价（以脂肪计）</w:t>
      </w:r>
      <w:r>
        <w:rPr>
          <w:rFonts w:ascii="仿宋_GB2312" w:eastAsia="仿宋_GB2312" w:hint="eastAsia"/>
          <w:sz w:val="32"/>
          <w:szCs w:val="32"/>
        </w:rPr>
        <w:t>（</w:t>
      </w:r>
      <w:r w:rsidRPr="00B65568">
        <w:rPr>
          <w:rFonts w:ascii="Times New Roman" w:eastAsia="仿宋_GB2312" w:hAnsi="Times New Roman" w:cs="Times New Roman"/>
          <w:sz w:val="32"/>
          <w:szCs w:val="32"/>
        </w:rPr>
        <w:t>KOH</w:t>
      </w:r>
      <w:r>
        <w:rPr>
          <w:rFonts w:ascii="仿宋_GB2312" w:eastAsia="仿宋_GB2312" w:hint="eastAsia"/>
          <w:sz w:val="32"/>
          <w:szCs w:val="32"/>
        </w:rPr>
        <w:t>）</w:t>
      </w:r>
      <w:r w:rsidRPr="00026069">
        <w:rPr>
          <w:rFonts w:ascii="仿宋_GB2312" w:eastAsia="仿宋_GB2312" w:hint="eastAsia"/>
          <w:sz w:val="32"/>
          <w:szCs w:val="32"/>
        </w:rPr>
        <w:t>应</w:t>
      </w:r>
      <w:r w:rsidR="002E5E86">
        <w:rPr>
          <w:rFonts w:ascii="仿宋_GB2312" w:eastAsia="仿宋_GB2312" w:hint="eastAsia"/>
          <w:sz w:val="32"/>
          <w:szCs w:val="32"/>
        </w:rPr>
        <w:t>不超过</w:t>
      </w:r>
      <w:r w:rsidRPr="00B65568">
        <w:rPr>
          <w:rFonts w:ascii="Times New Roman" w:eastAsia="仿宋_GB2312" w:hAnsi="Times New Roman" w:cs="Times New Roman"/>
          <w:sz w:val="32"/>
          <w:szCs w:val="32"/>
        </w:rPr>
        <w:t>5mg/g</w:t>
      </w:r>
      <w:r w:rsidRPr="00026069">
        <w:rPr>
          <w:rFonts w:ascii="仿宋_GB2312" w:eastAsia="仿宋_GB2312" w:hint="eastAsia"/>
          <w:sz w:val="32"/>
          <w:szCs w:val="32"/>
        </w:rPr>
        <w:t>。</w:t>
      </w:r>
      <w:r w:rsidRPr="00397CD0">
        <w:rPr>
          <w:rFonts w:ascii="仿宋_GB2312" w:eastAsia="仿宋_GB2312"/>
          <w:sz w:val="32"/>
          <w:szCs w:val="32"/>
        </w:rPr>
        <w:t>造成酸价不合格的主要原因可能是企业原料采购把关不严、生产工艺不达标、产品储藏条件不当，特别是存贮温度较高时易导致食品中的脂肪氧化酸败。</w:t>
      </w:r>
      <w:r w:rsidRPr="00026069">
        <w:rPr>
          <w:rFonts w:ascii="仿宋_GB2312" w:eastAsia="仿宋_GB2312" w:hint="eastAsia"/>
          <w:sz w:val="32"/>
          <w:szCs w:val="32"/>
        </w:rPr>
        <w:t>酸价超标会导致食品有</w:t>
      </w:r>
      <w:r w:rsidRPr="00026069">
        <w:rPr>
          <w:rFonts w:ascii="仿宋_GB2312" w:eastAsia="仿宋_GB2312"/>
          <w:sz w:val="32"/>
          <w:szCs w:val="32"/>
        </w:rPr>
        <w:t>哈喇味</w:t>
      </w:r>
      <w:r w:rsidRPr="00026069">
        <w:rPr>
          <w:rFonts w:ascii="仿宋_GB2312" w:eastAsia="仿宋_GB2312" w:hint="eastAsia"/>
          <w:sz w:val="32"/>
          <w:szCs w:val="32"/>
        </w:rPr>
        <w:t>，超标严重时</w:t>
      </w:r>
      <w:r w:rsidRPr="00026069">
        <w:rPr>
          <w:rFonts w:ascii="仿宋_GB2312" w:eastAsia="仿宋_GB2312"/>
          <w:sz w:val="32"/>
          <w:szCs w:val="32"/>
        </w:rPr>
        <w:t>所产生的醛、酮、酸会破坏脂溶性维生素，导致肠胃不适。</w:t>
      </w:r>
    </w:p>
    <w:p w:rsidR="00E7052B" w:rsidRPr="005F3083" w:rsidRDefault="00E7052B" w:rsidP="00B65568">
      <w:pPr>
        <w:spacing w:line="600" w:lineRule="exact"/>
        <w:ind w:firstLineChars="200" w:firstLine="640"/>
        <w:jc w:val="left"/>
        <w:rPr>
          <w:rFonts w:ascii="仿宋_GB2312" w:eastAsia="仿宋_GB2312" w:hAnsi="仿宋" w:cs="Arial"/>
          <w:color w:val="000000"/>
          <w:sz w:val="32"/>
          <w:szCs w:val="32"/>
        </w:rPr>
      </w:pPr>
    </w:p>
    <w:sectPr w:rsidR="00E7052B" w:rsidRPr="005F3083" w:rsidSect="00C24969">
      <w:footerReference w:type="default" r:id="rId12"/>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C23" w:rsidRDefault="00107C23" w:rsidP="00804CA1">
      <w:r>
        <w:separator/>
      </w:r>
    </w:p>
  </w:endnote>
  <w:endnote w:type="continuationSeparator" w:id="0">
    <w:p w:rsidR="00107C23" w:rsidRDefault="00107C23" w:rsidP="0080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87551"/>
      <w:docPartObj>
        <w:docPartGallery w:val="Page Numbers (Bottom of Page)"/>
        <w:docPartUnique/>
      </w:docPartObj>
    </w:sdtPr>
    <w:sdtEndPr/>
    <w:sdtContent>
      <w:p w:rsidR="00895177" w:rsidRDefault="00C03DAE">
        <w:pPr>
          <w:pStyle w:val="a4"/>
          <w:jc w:val="center"/>
        </w:pPr>
        <w:r>
          <w:fldChar w:fldCharType="begin"/>
        </w:r>
        <w:r w:rsidR="00895177">
          <w:instrText>PAGE   \* MERGEFORMAT</w:instrText>
        </w:r>
        <w:r>
          <w:fldChar w:fldCharType="separate"/>
        </w:r>
        <w:r w:rsidR="00B65568" w:rsidRPr="00B65568">
          <w:rPr>
            <w:noProof/>
            <w:lang w:val="zh-CN"/>
          </w:rPr>
          <w:t>1</w:t>
        </w:r>
        <w:r>
          <w:fldChar w:fldCharType="end"/>
        </w:r>
      </w:p>
    </w:sdtContent>
  </w:sdt>
  <w:p w:rsidR="00895177" w:rsidRDefault="008951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C23" w:rsidRDefault="00107C23" w:rsidP="00804CA1">
      <w:r>
        <w:separator/>
      </w:r>
    </w:p>
  </w:footnote>
  <w:footnote w:type="continuationSeparator" w:id="0">
    <w:p w:rsidR="00107C23" w:rsidRDefault="00107C23" w:rsidP="00804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15B2C"/>
    <w:multiLevelType w:val="hybridMultilevel"/>
    <w:tmpl w:val="0A82735A"/>
    <w:lvl w:ilvl="0" w:tplc="B67E6CB8">
      <w:start w:val="3"/>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
    <w:nsid w:val="2D0E3C16"/>
    <w:multiLevelType w:val="hybridMultilevel"/>
    <w:tmpl w:val="07C697FE"/>
    <w:lvl w:ilvl="0" w:tplc="04383ADA">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771473"/>
    <w:multiLevelType w:val="hybridMultilevel"/>
    <w:tmpl w:val="4FD656E6"/>
    <w:lvl w:ilvl="0" w:tplc="DFA8BAE4">
      <w:start w:val="4"/>
      <w:numFmt w:val="japaneseCounting"/>
      <w:lvlText w:val="%1、"/>
      <w:lvlJc w:val="left"/>
      <w:pPr>
        <w:ind w:left="2149" w:hanging="720"/>
      </w:pPr>
      <w:rPr>
        <w:rFonts w:hint="default"/>
      </w:rPr>
    </w:lvl>
    <w:lvl w:ilvl="1" w:tplc="04090019" w:tentative="1">
      <w:start w:val="1"/>
      <w:numFmt w:val="lowerLetter"/>
      <w:lvlText w:val="%2)"/>
      <w:lvlJc w:val="left"/>
      <w:pPr>
        <w:ind w:left="2269" w:hanging="420"/>
      </w:pPr>
    </w:lvl>
    <w:lvl w:ilvl="2" w:tplc="0409001B" w:tentative="1">
      <w:start w:val="1"/>
      <w:numFmt w:val="lowerRoman"/>
      <w:lvlText w:val="%3."/>
      <w:lvlJc w:val="right"/>
      <w:pPr>
        <w:ind w:left="2689" w:hanging="420"/>
      </w:pPr>
    </w:lvl>
    <w:lvl w:ilvl="3" w:tplc="0409000F" w:tentative="1">
      <w:start w:val="1"/>
      <w:numFmt w:val="decimal"/>
      <w:lvlText w:val="%4."/>
      <w:lvlJc w:val="left"/>
      <w:pPr>
        <w:ind w:left="3109" w:hanging="420"/>
      </w:pPr>
    </w:lvl>
    <w:lvl w:ilvl="4" w:tplc="04090019" w:tentative="1">
      <w:start w:val="1"/>
      <w:numFmt w:val="lowerLetter"/>
      <w:lvlText w:val="%5)"/>
      <w:lvlJc w:val="left"/>
      <w:pPr>
        <w:ind w:left="3529" w:hanging="420"/>
      </w:pPr>
    </w:lvl>
    <w:lvl w:ilvl="5" w:tplc="0409001B" w:tentative="1">
      <w:start w:val="1"/>
      <w:numFmt w:val="lowerRoman"/>
      <w:lvlText w:val="%6."/>
      <w:lvlJc w:val="right"/>
      <w:pPr>
        <w:ind w:left="3949" w:hanging="420"/>
      </w:pPr>
    </w:lvl>
    <w:lvl w:ilvl="6" w:tplc="0409000F" w:tentative="1">
      <w:start w:val="1"/>
      <w:numFmt w:val="decimal"/>
      <w:lvlText w:val="%7."/>
      <w:lvlJc w:val="left"/>
      <w:pPr>
        <w:ind w:left="4369" w:hanging="420"/>
      </w:pPr>
    </w:lvl>
    <w:lvl w:ilvl="7" w:tplc="04090019" w:tentative="1">
      <w:start w:val="1"/>
      <w:numFmt w:val="lowerLetter"/>
      <w:lvlText w:val="%8)"/>
      <w:lvlJc w:val="left"/>
      <w:pPr>
        <w:ind w:left="4789" w:hanging="420"/>
      </w:pPr>
    </w:lvl>
    <w:lvl w:ilvl="8" w:tplc="0409001B" w:tentative="1">
      <w:start w:val="1"/>
      <w:numFmt w:val="lowerRoman"/>
      <w:lvlText w:val="%9."/>
      <w:lvlJc w:val="right"/>
      <w:pPr>
        <w:ind w:left="5209" w:hanging="420"/>
      </w:pPr>
    </w:lvl>
  </w:abstractNum>
  <w:abstractNum w:abstractNumId="3">
    <w:nsid w:val="581AD034"/>
    <w:multiLevelType w:val="singleLevel"/>
    <w:tmpl w:val="581AD034"/>
    <w:lvl w:ilvl="0">
      <w:start w:val="2"/>
      <w:numFmt w:val="chineseCounting"/>
      <w:suff w:val="nothing"/>
      <w:lvlText w:val="%1、"/>
      <w:lvlJc w:val="left"/>
    </w:lvl>
  </w:abstractNum>
  <w:abstractNum w:abstractNumId="4">
    <w:nsid w:val="6D592EF9"/>
    <w:multiLevelType w:val="hybridMultilevel"/>
    <w:tmpl w:val="0E3A2610"/>
    <w:lvl w:ilvl="0" w:tplc="47200CFA">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0231D"/>
    <w:rsid w:val="00026069"/>
    <w:rsid w:val="00050502"/>
    <w:rsid w:val="00057C9D"/>
    <w:rsid w:val="00067AAD"/>
    <w:rsid w:val="0007233C"/>
    <w:rsid w:val="00072539"/>
    <w:rsid w:val="000800AE"/>
    <w:rsid w:val="00082CA4"/>
    <w:rsid w:val="00097E5A"/>
    <w:rsid w:val="000A1CA7"/>
    <w:rsid w:val="000B2545"/>
    <w:rsid w:val="000B45E8"/>
    <w:rsid w:val="000C7DEB"/>
    <w:rsid w:val="000D74C2"/>
    <w:rsid w:val="000E599A"/>
    <w:rsid w:val="000F4094"/>
    <w:rsid w:val="000F4B86"/>
    <w:rsid w:val="00102897"/>
    <w:rsid w:val="00107C23"/>
    <w:rsid w:val="0011343E"/>
    <w:rsid w:val="00113712"/>
    <w:rsid w:val="00124BDE"/>
    <w:rsid w:val="00143CEB"/>
    <w:rsid w:val="00150D3C"/>
    <w:rsid w:val="00156C2C"/>
    <w:rsid w:val="001648D0"/>
    <w:rsid w:val="0016724E"/>
    <w:rsid w:val="00184325"/>
    <w:rsid w:val="00187205"/>
    <w:rsid w:val="001901F9"/>
    <w:rsid w:val="001A6ADF"/>
    <w:rsid w:val="001A6DBB"/>
    <w:rsid w:val="001C4310"/>
    <w:rsid w:val="001E7C5C"/>
    <w:rsid w:val="002B384B"/>
    <w:rsid w:val="002E5E86"/>
    <w:rsid w:val="002E7D88"/>
    <w:rsid w:val="002F2143"/>
    <w:rsid w:val="00314DD5"/>
    <w:rsid w:val="0034436D"/>
    <w:rsid w:val="003455E6"/>
    <w:rsid w:val="00357F27"/>
    <w:rsid w:val="0038633A"/>
    <w:rsid w:val="00395129"/>
    <w:rsid w:val="00397CD0"/>
    <w:rsid w:val="003C1AED"/>
    <w:rsid w:val="003D0B3F"/>
    <w:rsid w:val="00412DAF"/>
    <w:rsid w:val="0041724F"/>
    <w:rsid w:val="00417336"/>
    <w:rsid w:val="004364F8"/>
    <w:rsid w:val="004478FC"/>
    <w:rsid w:val="004A654B"/>
    <w:rsid w:val="004B5F74"/>
    <w:rsid w:val="004B64D9"/>
    <w:rsid w:val="004F06D9"/>
    <w:rsid w:val="004F3D58"/>
    <w:rsid w:val="00506E78"/>
    <w:rsid w:val="00507AAF"/>
    <w:rsid w:val="00516895"/>
    <w:rsid w:val="00527CAA"/>
    <w:rsid w:val="005317AB"/>
    <w:rsid w:val="00534A48"/>
    <w:rsid w:val="00546FD2"/>
    <w:rsid w:val="0057056D"/>
    <w:rsid w:val="0057524F"/>
    <w:rsid w:val="005771A5"/>
    <w:rsid w:val="005A7BC0"/>
    <w:rsid w:val="005B1028"/>
    <w:rsid w:val="005B44D4"/>
    <w:rsid w:val="005B58B4"/>
    <w:rsid w:val="005D32F6"/>
    <w:rsid w:val="005D7D45"/>
    <w:rsid w:val="005F3083"/>
    <w:rsid w:val="006470BB"/>
    <w:rsid w:val="00674ABF"/>
    <w:rsid w:val="00687316"/>
    <w:rsid w:val="006F044C"/>
    <w:rsid w:val="006F32DE"/>
    <w:rsid w:val="006F7339"/>
    <w:rsid w:val="00724501"/>
    <w:rsid w:val="00734B44"/>
    <w:rsid w:val="00737AFE"/>
    <w:rsid w:val="00742115"/>
    <w:rsid w:val="00743584"/>
    <w:rsid w:val="007505B0"/>
    <w:rsid w:val="00752908"/>
    <w:rsid w:val="0077575E"/>
    <w:rsid w:val="00776059"/>
    <w:rsid w:val="0077710D"/>
    <w:rsid w:val="00780AB3"/>
    <w:rsid w:val="00783A82"/>
    <w:rsid w:val="007B5C8F"/>
    <w:rsid w:val="007D2E0E"/>
    <w:rsid w:val="007D3369"/>
    <w:rsid w:val="007F5524"/>
    <w:rsid w:val="00804CA1"/>
    <w:rsid w:val="008063C9"/>
    <w:rsid w:val="008117B8"/>
    <w:rsid w:val="00880F04"/>
    <w:rsid w:val="00895177"/>
    <w:rsid w:val="0089610B"/>
    <w:rsid w:val="008A7067"/>
    <w:rsid w:val="008D019E"/>
    <w:rsid w:val="008D7ECA"/>
    <w:rsid w:val="008E77F6"/>
    <w:rsid w:val="009756BD"/>
    <w:rsid w:val="00976C94"/>
    <w:rsid w:val="009927AB"/>
    <w:rsid w:val="009B17D9"/>
    <w:rsid w:val="009B1CE0"/>
    <w:rsid w:val="009C78F5"/>
    <w:rsid w:val="009E0C03"/>
    <w:rsid w:val="009E252B"/>
    <w:rsid w:val="009F4B8A"/>
    <w:rsid w:val="00A1575B"/>
    <w:rsid w:val="00A339B7"/>
    <w:rsid w:val="00A370EE"/>
    <w:rsid w:val="00A635C2"/>
    <w:rsid w:val="00A9701B"/>
    <w:rsid w:val="00AB0288"/>
    <w:rsid w:val="00AB1112"/>
    <w:rsid w:val="00AB3E33"/>
    <w:rsid w:val="00AB7501"/>
    <w:rsid w:val="00AC37A4"/>
    <w:rsid w:val="00AC79C1"/>
    <w:rsid w:val="00AE501F"/>
    <w:rsid w:val="00AF4FC8"/>
    <w:rsid w:val="00B03EFD"/>
    <w:rsid w:val="00B147BF"/>
    <w:rsid w:val="00B2770C"/>
    <w:rsid w:val="00B60BFA"/>
    <w:rsid w:val="00B62F44"/>
    <w:rsid w:val="00B65568"/>
    <w:rsid w:val="00B6661C"/>
    <w:rsid w:val="00BA54E8"/>
    <w:rsid w:val="00BC2FC6"/>
    <w:rsid w:val="00BC5A14"/>
    <w:rsid w:val="00C03DAE"/>
    <w:rsid w:val="00C24969"/>
    <w:rsid w:val="00C866ED"/>
    <w:rsid w:val="00CB1B93"/>
    <w:rsid w:val="00CD571D"/>
    <w:rsid w:val="00CD6AFE"/>
    <w:rsid w:val="00CE0330"/>
    <w:rsid w:val="00CE13D2"/>
    <w:rsid w:val="00CF0D96"/>
    <w:rsid w:val="00CF5403"/>
    <w:rsid w:val="00D11774"/>
    <w:rsid w:val="00D16C55"/>
    <w:rsid w:val="00D2271C"/>
    <w:rsid w:val="00D413F8"/>
    <w:rsid w:val="00D505E3"/>
    <w:rsid w:val="00D731C9"/>
    <w:rsid w:val="00D762A4"/>
    <w:rsid w:val="00DC793E"/>
    <w:rsid w:val="00DC7CCF"/>
    <w:rsid w:val="00DE52CB"/>
    <w:rsid w:val="00E438EF"/>
    <w:rsid w:val="00E45F03"/>
    <w:rsid w:val="00E5769E"/>
    <w:rsid w:val="00E610CF"/>
    <w:rsid w:val="00E7052B"/>
    <w:rsid w:val="00E73B70"/>
    <w:rsid w:val="00E75233"/>
    <w:rsid w:val="00E764E7"/>
    <w:rsid w:val="00EA3880"/>
    <w:rsid w:val="00EA5E81"/>
    <w:rsid w:val="00EB035D"/>
    <w:rsid w:val="00EE1099"/>
    <w:rsid w:val="00EF2FC7"/>
    <w:rsid w:val="00EF73EB"/>
    <w:rsid w:val="00F23F24"/>
    <w:rsid w:val="00F56DA2"/>
    <w:rsid w:val="00F64B8F"/>
    <w:rsid w:val="00FA6BE0"/>
    <w:rsid w:val="00FB5CDD"/>
    <w:rsid w:val="00FB7E4A"/>
    <w:rsid w:val="00FC246E"/>
    <w:rsid w:val="00FE1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CA1"/>
    <w:rPr>
      <w:sz w:val="18"/>
      <w:szCs w:val="18"/>
    </w:rPr>
  </w:style>
  <w:style w:type="paragraph" w:styleId="a4">
    <w:name w:val="footer"/>
    <w:basedOn w:val="a"/>
    <w:link w:val="Char0"/>
    <w:uiPriority w:val="99"/>
    <w:unhideWhenUsed/>
    <w:rsid w:val="00804CA1"/>
    <w:pPr>
      <w:tabs>
        <w:tab w:val="center" w:pos="4153"/>
        <w:tab w:val="right" w:pos="8306"/>
      </w:tabs>
      <w:snapToGrid w:val="0"/>
      <w:jc w:val="left"/>
    </w:pPr>
    <w:rPr>
      <w:sz w:val="18"/>
      <w:szCs w:val="18"/>
    </w:rPr>
  </w:style>
  <w:style w:type="character" w:customStyle="1" w:styleId="Char0">
    <w:name w:val="页脚 Char"/>
    <w:basedOn w:val="a0"/>
    <w:link w:val="a4"/>
    <w:uiPriority w:val="99"/>
    <w:rsid w:val="00804CA1"/>
    <w:rPr>
      <w:sz w:val="18"/>
      <w:szCs w:val="18"/>
    </w:rPr>
  </w:style>
  <w:style w:type="paragraph" w:styleId="a5">
    <w:name w:val="List Paragraph"/>
    <w:basedOn w:val="a"/>
    <w:uiPriority w:val="34"/>
    <w:qFormat/>
    <w:rsid w:val="0057056D"/>
    <w:pPr>
      <w:ind w:firstLineChars="200" w:firstLine="420"/>
    </w:pPr>
  </w:style>
  <w:style w:type="paragraph" w:styleId="a6">
    <w:name w:val="Balloon Text"/>
    <w:basedOn w:val="a"/>
    <w:link w:val="Char1"/>
    <w:uiPriority w:val="99"/>
    <w:semiHidden/>
    <w:unhideWhenUsed/>
    <w:rsid w:val="0057056D"/>
    <w:rPr>
      <w:sz w:val="18"/>
      <w:szCs w:val="18"/>
    </w:rPr>
  </w:style>
  <w:style w:type="character" w:customStyle="1" w:styleId="Char1">
    <w:name w:val="批注框文本 Char"/>
    <w:basedOn w:val="a0"/>
    <w:link w:val="a6"/>
    <w:uiPriority w:val="99"/>
    <w:semiHidden/>
    <w:rsid w:val="0057056D"/>
    <w:rPr>
      <w:sz w:val="18"/>
      <w:szCs w:val="18"/>
    </w:rPr>
  </w:style>
  <w:style w:type="character" w:styleId="a7">
    <w:name w:val="Hyperlink"/>
    <w:basedOn w:val="a0"/>
    <w:uiPriority w:val="99"/>
    <w:semiHidden/>
    <w:unhideWhenUsed/>
    <w:rsid w:val="001134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CA1"/>
    <w:rPr>
      <w:sz w:val="18"/>
      <w:szCs w:val="18"/>
    </w:rPr>
  </w:style>
  <w:style w:type="paragraph" w:styleId="a4">
    <w:name w:val="footer"/>
    <w:basedOn w:val="a"/>
    <w:link w:val="Char0"/>
    <w:uiPriority w:val="99"/>
    <w:unhideWhenUsed/>
    <w:rsid w:val="00804CA1"/>
    <w:pPr>
      <w:tabs>
        <w:tab w:val="center" w:pos="4153"/>
        <w:tab w:val="right" w:pos="8306"/>
      </w:tabs>
      <w:snapToGrid w:val="0"/>
      <w:jc w:val="left"/>
    </w:pPr>
    <w:rPr>
      <w:sz w:val="18"/>
      <w:szCs w:val="18"/>
    </w:rPr>
  </w:style>
  <w:style w:type="character" w:customStyle="1" w:styleId="Char0">
    <w:name w:val="页脚 Char"/>
    <w:basedOn w:val="a0"/>
    <w:link w:val="a4"/>
    <w:uiPriority w:val="99"/>
    <w:rsid w:val="00804CA1"/>
    <w:rPr>
      <w:sz w:val="18"/>
      <w:szCs w:val="18"/>
    </w:rPr>
  </w:style>
  <w:style w:type="paragraph" w:styleId="a5">
    <w:name w:val="List Paragraph"/>
    <w:basedOn w:val="a"/>
    <w:uiPriority w:val="34"/>
    <w:qFormat/>
    <w:rsid w:val="0057056D"/>
    <w:pPr>
      <w:ind w:firstLineChars="200" w:firstLine="420"/>
    </w:pPr>
  </w:style>
  <w:style w:type="paragraph" w:styleId="a6">
    <w:name w:val="Balloon Text"/>
    <w:basedOn w:val="a"/>
    <w:link w:val="Char1"/>
    <w:uiPriority w:val="99"/>
    <w:semiHidden/>
    <w:unhideWhenUsed/>
    <w:rsid w:val="0057056D"/>
    <w:rPr>
      <w:sz w:val="18"/>
      <w:szCs w:val="18"/>
    </w:rPr>
  </w:style>
  <w:style w:type="character" w:customStyle="1" w:styleId="Char1">
    <w:name w:val="批注框文本 Char"/>
    <w:basedOn w:val="a0"/>
    <w:link w:val="a6"/>
    <w:uiPriority w:val="99"/>
    <w:semiHidden/>
    <w:rsid w:val="0057056D"/>
    <w:rPr>
      <w:sz w:val="18"/>
      <w:szCs w:val="18"/>
    </w:rPr>
  </w:style>
  <w:style w:type="character" w:styleId="a7">
    <w:name w:val="Hyperlink"/>
    <w:basedOn w:val="a0"/>
    <w:uiPriority w:val="99"/>
    <w:semiHidden/>
    <w:unhideWhenUsed/>
    <w:rsid w:val="00113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05026">
      <w:bodyDiv w:val="1"/>
      <w:marLeft w:val="0"/>
      <w:marRight w:val="0"/>
      <w:marTop w:val="0"/>
      <w:marBottom w:val="0"/>
      <w:divBdr>
        <w:top w:val="none" w:sz="0" w:space="0" w:color="auto"/>
        <w:left w:val="none" w:sz="0" w:space="0" w:color="auto"/>
        <w:bottom w:val="none" w:sz="0" w:space="0" w:color="auto"/>
        <w:right w:val="none" w:sz="0" w:space="0" w:color="auto"/>
      </w:divBdr>
      <w:divsChild>
        <w:div w:id="1087269569">
          <w:marLeft w:val="0"/>
          <w:marRight w:val="0"/>
          <w:marTop w:val="0"/>
          <w:marBottom w:val="0"/>
          <w:divBdr>
            <w:top w:val="none" w:sz="0" w:space="0" w:color="auto"/>
            <w:left w:val="none" w:sz="0" w:space="0" w:color="auto"/>
            <w:bottom w:val="none" w:sz="0" w:space="0" w:color="auto"/>
            <w:right w:val="none" w:sz="0" w:space="0" w:color="auto"/>
          </w:divBdr>
        </w:div>
      </w:divsChild>
    </w:div>
    <w:div w:id="1130250493">
      <w:bodyDiv w:val="1"/>
      <w:marLeft w:val="0"/>
      <w:marRight w:val="0"/>
      <w:marTop w:val="0"/>
      <w:marBottom w:val="0"/>
      <w:divBdr>
        <w:top w:val="none" w:sz="0" w:space="0" w:color="auto"/>
        <w:left w:val="none" w:sz="0" w:space="0" w:color="auto"/>
        <w:bottom w:val="none" w:sz="0" w:space="0" w:color="auto"/>
        <w:right w:val="none" w:sz="0" w:space="0" w:color="auto"/>
      </w:divBdr>
    </w:div>
    <w:div w:id="1384602484">
      <w:bodyDiv w:val="1"/>
      <w:marLeft w:val="0"/>
      <w:marRight w:val="0"/>
      <w:marTop w:val="0"/>
      <w:marBottom w:val="0"/>
      <w:divBdr>
        <w:top w:val="none" w:sz="0" w:space="0" w:color="auto"/>
        <w:left w:val="none" w:sz="0" w:space="0" w:color="auto"/>
        <w:bottom w:val="none" w:sz="0" w:space="0" w:color="auto"/>
        <w:right w:val="none" w:sz="0" w:space="0" w:color="auto"/>
      </w:divBdr>
    </w:div>
    <w:div w:id="2094861663">
      <w:bodyDiv w:val="1"/>
      <w:marLeft w:val="0"/>
      <w:marRight w:val="0"/>
      <w:marTop w:val="0"/>
      <w:marBottom w:val="0"/>
      <w:divBdr>
        <w:top w:val="none" w:sz="0" w:space="0" w:color="auto"/>
        <w:left w:val="none" w:sz="0" w:space="0" w:color="auto"/>
        <w:bottom w:val="none" w:sz="0" w:space="0" w:color="auto"/>
        <w:right w:val="none" w:sz="0" w:space="0" w:color="auto"/>
      </w:divBdr>
      <w:divsChild>
        <w:div w:id="729811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so.com/doc/5376905-5613032.html" TargetMode="External"/><Relationship Id="rId5" Type="http://schemas.openxmlformats.org/officeDocument/2006/relationships/settings" Target="settings.xml"/><Relationship Id="rId10" Type="http://schemas.openxmlformats.org/officeDocument/2006/relationships/hyperlink" Target="http://baike.so.com/doc/6520595.html" TargetMode="External"/><Relationship Id="rId4" Type="http://schemas.microsoft.com/office/2007/relationships/stylesWithEffects" Target="stylesWithEffects.xml"/><Relationship Id="rId9" Type="http://schemas.openxmlformats.org/officeDocument/2006/relationships/hyperlink" Target="http://baike.so.com/doc/2341910.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D2177-AC19-4F85-9AFF-6830374C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0</DocSecurity>
  <Lines>6</Lines>
  <Paragraphs>1</Paragraphs>
  <ScaleCrop>false</ScaleCrop>
  <Company>http://sdwm.org</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田珺</cp:lastModifiedBy>
  <cp:revision>7</cp:revision>
  <cp:lastPrinted>2016-09-01T02:58:00Z</cp:lastPrinted>
  <dcterms:created xsi:type="dcterms:W3CDTF">2017-09-20T04:28:00Z</dcterms:created>
  <dcterms:modified xsi:type="dcterms:W3CDTF">2017-09-20T10:00:00Z</dcterms:modified>
</cp:coreProperties>
</file>