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640" w:lineRule="exact"/>
        <w:jc w:val="center"/>
        <w:rPr>
          <w:rFonts w:eastAsia="方正小标宋简体"/>
          <w:sz w:val="44"/>
          <w:szCs w:val="44"/>
        </w:rPr>
      </w:pPr>
      <w:bookmarkStart w:id="0" w:name="ZhuSongΩ1"/>
      <w:bookmarkStart w:id="2" w:name="_GoBack"/>
      <w:bookmarkEnd w:id="2"/>
      <w:r>
        <w:rPr>
          <w:rFonts w:eastAsia="方正小标宋简体"/>
          <w:sz w:val="44"/>
          <w:szCs w:val="44"/>
        </w:rPr>
        <w:t>食品药品监管总局食品、保健食品欺诈和</w:t>
      </w:r>
    </w:p>
    <w:p>
      <w:pPr>
        <w:snapToGrid w:val="0"/>
        <w:spacing w:line="640" w:lineRule="exact"/>
        <w:jc w:val="center"/>
        <w:rPr>
          <w:rFonts w:eastAsia="方正小标宋简体"/>
          <w:sz w:val="44"/>
          <w:szCs w:val="44"/>
        </w:rPr>
      </w:pPr>
      <w:r>
        <w:rPr>
          <w:rFonts w:eastAsia="方正小标宋简体"/>
          <w:sz w:val="44"/>
          <w:szCs w:val="44"/>
        </w:rPr>
        <w:t>虚假宣传整治工作实施方案</w:t>
      </w:r>
    </w:p>
    <w:p>
      <w:pPr>
        <w:snapToGrid w:val="0"/>
        <w:spacing w:line="640" w:lineRule="exact"/>
        <w:jc w:val="center"/>
        <w:rPr>
          <w:rFonts w:eastAsia="方正小标宋简体"/>
          <w:sz w:val="32"/>
          <w:szCs w:val="32"/>
        </w:rPr>
      </w:pPr>
    </w:p>
    <w:bookmarkEnd w:id="0"/>
    <w:p>
      <w:pPr>
        <w:snapToGrid w:val="0"/>
        <w:spacing w:line="600" w:lineRule="exact"/>
        <w:ind w:firstLine="640" w:firstLineChars="200"/>
        <w:rPr>
          <w:rFonts w:eastAsia="仿宋_GB2312"/>
          <w:sz w:val="32"/>
          <w:szCs w:val="32"/>
        </w:rPr>
      </w:pPr>
      <w:bookmarkStart w:id="1" w:name="zhengwen"/>
      <w:r>
        <w:rPr>
          <w:rFonts w:eastAsia="仿宋_GB2312"/>
          <w:sz w:val="32"/>
          <w:szCs w:val="32"/>
        </w:rPr>
        <w:t>为贯彻落实《国务院食品安全办等9部门关于印发食品、保健食品欺诈和虚假宣传整治方案的通知》（食安办〔2017〕20号）（以下简称《方案》）、《国务院食品安全办关于进一步做好食品、保健食品欺诈和虚假宣传整治实施工作有关事项的通知》（食安办〔2017〕33号）（以下简称《通知》）及全国食品、保健食品欺诈和虚假宣传整治电视电话会议要求，地方各级食品药品监管部门要认真抓好整治实施各项工作，具体要求如下：</w:t>
      </w:r>
    </w:p>
    <w:p>
      <w:pPr>
        <w:snapToGrid w:val="0"/>
        <w:spacing w:line="600" w:lineRule="exact"/>
        <w:ind w:firstLine="640" w:firstLineChars="200"/>
        <w:rPr>
          <w:rFonts w:ascii="黑体" w:hAnsi="黑体" w:eastAsia="黑体"/>
          <w:sz w:val="32"/>
          <w:szCs w:val="32"/>
        </w:rPr>
      </w:pPr>
      <w:r>
        <w:rPr>
          <w:rFonts w:ascii="黑体" w:hAnsi="黑体" w:eastAsia="黑体"/>
          <w:sz w:val="32"/>
          <w:szCs w:val="32"/>
        </w:rPr>
        <w:t>一、加强组织领导</w:t>
      </w:r>
    </w:p>
    <w:p>
      <w:pPr>
        <w:snapToGrid w:val="0"/>
        <w:spacing w:line="600" w:lineRule="exact"/>
        <w:ind w:firstLine="640" w:firstLineChars="200"/>
        <w:rPr>
          <w:rFonts w:eastAsia="仿宋_GB2312"/>
          <w:sz w:val="32"/>
          <w:szCs w:val="32"/>
        </w:rPr>
      </w:pPr>
      <w:r>
        <w:rPr>
          <w:rFonts w:hint="eastAsia" w:ascii="楷体_GB2312" w:eastAsia="楷体_GB2312"/>
          <w:sz w:val="32"/>
          <w:szCs w:val="32"/>
        </w:rPr>
        <w:t>（一）建立工作体系。</w:t>
      </w:r>
      <w:r>
        <w:rPr>
          <w:rFonts w:eastAsia="仿宋_GB2312"/>
          <w:sz w:val="32"/>
          <w:szCs w:val="32"/>
        </w:rPr>
        <w:t>建立专门工作机构，统筹、协调本地区整治工作，整合食品和保健食品生产、经营、稽查、许可、抽检监测、法制、科技标准、新闻宣传等各方力量，明确职责分工和牵头部门，实施集中办公；建立会商会议、信息通报、督促检查等工作机制，及时解决问题，形成整治合力；落实专项整治人、财、物等保障工作。</w:t>
      </w:r>
    </w:p>
    <w:p>
      <w:pPr>
        <w:snapToGrid w:val="0"/>
        <w:spacing w:line="600" w:lineRule="exact"/>
        <w:ind w:firstLine="640" w:firstLineChars="200"/>
        <w:rPr>
          <w:rFonts w:eastAsia="仿宋_GB2312"/>
          <w:sz w:val="32"/>
          <w:szCs w:val="32"/>
        </w:rPr>
      </w:pPr>
      <w:r>
        <w:rPr>
          <w:rFonts w:ascii="楷体_GB2312" w:eastAsia="楷体_GB2312"/>
          <w:sz w:val="32"/>
          <w:szCs w:val="32"/>
        </w:rPr>
        <w:t>（二）制定实施方案。</w:t>
      </w:r>
      <w:r>
        <w:rPr>
          <w:rFonts w:eastAsia="仿宋_GB2312"/>
          <w:sz w:val="32"/>
          <w:szCs w:val="32"/>
        </w:rPr>
        <w:t>结合当地实际，制定本地区整治工作实施方案和督促检查方案，进一步细化整治重点和措施；采取实地检查、座谈约谈、通报曝光等方式，定期调度整治工作进展，确保取得实效。</w:t>
      </w:r>
    </w:p>
    <w:p>
      <w:pPr>
        <w:snapToGrid w:val="0"/>
        <w:spacing w:line="600" w:lineRule="exact"/>
        <w:ind w:firstLine="640" w:firstLineChars="200"/>
        <w:rPr>
          <w:rFonts w:ascii="黑体" w:hAnsi="黑体" w:eastAsia="黑体"/>
          <w:sz w:val="32"/>
          <w:szCs w:val="32"/>
        </w:rPr>
      </w:pPr>
      <w:r>
        <w:rPr>
          <w:rFonts w:ascii="黑体" w:hAnsi="黑体" w:eastAsia="黑体"/>
          <w:sz w:val="32"/>
          <w:szCs w:val="32"/>
        </w:rPr>
        <w:t>二、强化整治重点</w:t>
      </w:r>
    </w:p>
    <w:p>
      <w:pPr>
        <w:snapToGrid w:val="0"/>
        <w:spacing w:line="600" w:lineRule="exact"/>
        <w:ind w:firstLine="640" w:firstLineChars="200"/>
        <w:rPr>
          <w:rFonts w:eastAsia="仿宋_GB2312"/>
          <w:sz w:val="32"/>
          <w:szCs w:val="32"/>
        </w:rPr>
      </w:pPr>
      <w:r>
        <w:rPr>
          <w:rFonts w:ascii="楷体_GB2312" w:eastAsia="楷体_GB2312"/>
          <w:sz w:val="32"/>
          <w:szCs w:val="32"/>
        </w:rPr>
        <w:t>（一）治理未经许可生产经营食品和保健食品。</w:t>
      </w:r>
      <w:r>
        <w:rPr>
          <w:rFonts w:eastAsia="仿宋_GB2312"/>
          <w:sz w:val="32"/>
          <w:szCs w:val="32"/>
        </w:rPr>
        <w:t>主要包括：</w:t>
      </w:r>
    </w:p>
    <w:p>
      <w:pPr>
        <w:snapToGrid w:val="0"/>
        <w:spacing w:line="620" w:lineRule="exact"/>
        <w:ind w:firstLine="640" w:firstLineChars="200"/>
        <w:rPr>
          <w:rFonts w:eastAsia="仿宋_GB2312"/>
          <w:sz w:val="32"/>
          <w:szCs w:val="32"/>
        </w:rPr>
      </w:pPr>
      <w:r>
        <w:rPr>
          <w:rFonts w:eastAsia="仿宋_GB2312"/>
          <w:sz w:val="32"/>
          <w:szCs w:val="32"/>
        </w:rPr>
        <w:t>1.无证生产经营食品、保健食品，特别是地下黑窝点非法生产经营。</w:t>
      </w:r>
    </w:p>
    <w:p>
      <w:pPr>
        <w:snapToGrid w:val="0"/>
        <w:spacing w:line="620" w:lineRule="exact"/>
        <w:ind w:firstLine="640" w:firstLineChars="200"/>
        <w:rPr>
          <w:rFonts w:eastAsia="仿宋_GB2312"/>
          <w:sz w:val="32"/>
          <w:szCs w:val="32"/>
        </w:rPr>
      </w:pPr>
      <w:r>
        <w:rPr>
          <w:rFonts w:eastAsia="仿宋_GB2312"/>
          <w:sz w:val="32"/>
          <w:szCs w:val="32"/>
        </w:rPr>
        <w:t>2.超出许可和核准登记的经营范围从事食品、保健食品生产经营活动。</w:t>
      </w:r>
    </w:p>
    <w:p>
      <w:pPr>
        <w:snapToGrid w:val="0"/>
        <w:spacing w:line="620" w:lineRule="exact"/>
        <w:ind w:firstLine="640" w:firstLineChars="200"/>
        <w:rPr>
          <w:rFonts w:eastAsia="仿宋_GB2312"/>
          <w:sz w:val="32"/>
          <w:szCs w:val="32"/>
        </w:rPr>
      </w:pPr>
      <w:r>
        <w:rPr>
          <w:rFonts w:eastAsia="仿宋_GB2312"/>
          <w:sz w:val="32"/>
          <w:szCs w:val="32"/>
        </w:rPr>
        <w:t>3.许可证有效期届满未依法延续，仍从事生产经营活动。</w:t>
      </w:r>
    </w:p>
    <w:p>
      <w:pPr>
        <w:snapToGrid w:val="0"/>
        <w:spacing w:line="620" w:lineRule="exact"/>
        <w:ind w:firstLine="640" w:firstLineChars="200"/>
        <w:rPr>
          <w:rFonts w:eastAsia="仿宋_GB2312"/>
          <w:sz w:val="32"/>
          <w:szCs w:val="32"/>
        </w:rPr>
      </w:pPr>
      <w:r>
        <w:rPr>
          <w:rFonts w:eastAsia="仿宋_GB2312"/>
          <w:sz w:val="32"/>
          <w:szCs w:val="32"/>
        </w:rPr>
        <w:t>4.知道或应当知道属于无证生产经营，仍为其提供生产经营场所、运输、保管、仓储等条件。</w:t>
      </w:r>
    </w:p>
    <w:p>
      <w:pPr>
        <w:snapToGrid w:val="0"/>
        <w:spacing w:line="620" w:lineRule="exact"/>
        <w:ind w:firstLine="640" w:firstLineChars="200"/>
        <w:rPr>
          <w:rFonts w:eastAsia="仿宋_GB2312"/>
          <w:sz w:val="32"/>
          <w:szCs w:val="32"/>
        </w:rPr>
      </w:pPr>
      <w:r>
        <w:rPr>
          <w:rFonts w:eastAsia="仿宋_GB2312"/>
          <w:sz w:val="32"/>
          <w:szCs w:val="32"/>
        </w:rPr>
        <w:t>5.生产经营者名称、社会信用代码（个体生产经营者）、法定代表人（负责人）等与许可内容不一致。</w:t>
      </w:r>
    </w:p>
    <w:p>
      <w:pPr>
        <w:snapToGrid w:val="0"/>
        <w:spacing w:line="620" w:lineRule="exact"/>
        <w:ind w:firstLine="640" w:firstLineChars="200"/>
        <w:rPr>
          <w:rFonts w:eastAsia="仿宋_GB2312"/>
          <w:sz w:val="32"/>
          <w:szCs w:val="32"/>
        </w:rPr>
      </w:pPr>
      <w:r>
        <w:rPr>
          <w:rFonts w:eastAsia="仿宋_GB2312"/>
          <w:sz w:val="32"/>
          <w:szCs w:val="32"/>
        </w:rPr>
        <w:t>6.生产未经注册或备案的保健食品，相关注册证书不在有效期内，产品名称等与注册或备案凭证信息不一致，擅自转让、伪造、涂改、倒卖、出租、出借注册证书等。</w:t>
      </w:r>
    </w:p>
    <w:p>
      <w:pPr>
        <w:spacing w:line="620" w:lineRule="exact"/>
        <w:ind w:firstLine="640" w:firstLineChars="200"/>
        <w:rPr>
          <w:rFonts w:eastAsia="仿宋_GB2312"/>
          <w:b/>
          <w:sz w:val="32"/>
          <w:szCs w:val="32"/>
        </w:rPr>
      </w:pPr>
      <w:r>
        <w:rPr>
          <w:rFonts w:eastAsia="仿宋_GB2312"/>
          <w:sz w:val="32"/>
          <w:szCs w:val="32"/>
        </w:rPr>
        <w:t>7.未按注册或备案的产品配方、生产工艺等技术要求生产保健食品；未获得变更批准，擅自改变配方、生产工艺等技术要求；原料的购进记录、出入库记录、生产记录、关键控制点监控记录等不属实、不完整；原料的品种、来源、规格、质量与批准的配方及产品技术要求（企业标准）不一致等。</w:t>
      </w:r>
    </w:p>
    <w:p>
      <w:pPr>
        <w:snapToGrid w:val="0"/>
        <w:spacing w:line="620" w:lineRule="exact"/>
        <w:ind w:firstLine="640" w:firstLineChars="200"/>
        <w:rPr>
          <w:rFonts w:eastAsia="仿宋_GB2312"/>
          <w:spacing w:val="2"/>
          <w:sz w:val="32"/>
          <w:szCs w:val="32"/>
        </w:rPr>
      </w:pPr>
      <w:r>
        <w:rPr>
          <w:rFonts w:ascii="楷体_GB2312" w:eastAsia="楷体_GB2312"/>
          <w:sz w:val="32"/>
          <w:szCs w:val="32"/>
        </w:rPr>
        <w:t>（二）</w:t>
      </w:r>
      <w:r>
        <w:rPr>
          <w:rFonts w:ascii="楷体_GB2312" w:eastAsia="楷体_GB2312"/>
          <w:spacing w:val="2"/>
          <w:sz w:val="32"/>
          <w:szCs w:val="32"/>
        </w:rPr>
        <w:t>治理食品和保健食品标签虚假标识声称行为。</w:t>
      </w:r>
      <w:r>
        <w:rPr>
          <w:rFonts w:eastAsia="仿宋_GB2312"/>
          <w:spacing w:val="2"/>
          <w:sz w:val="32"/>
          <w:szCs w:val="32"/>
        </w:rPr>
        <w:t>主要包括：</w:t>
      </w:r>
    </w:p>
    <w:p>
      <w:pPr>
        <w:spacing w:line="620" w:lineRule="exact"/>
        <w:ind w:firstLine="640" w:firstLineChars="200"/>
        <w:rPr>
          <w:rFonts w:eastAsia="仿宋_GB2312"/>
          <w:sz w:val="32"/>
          <w:szCs w:val="32"/>
        </w:rPr>
      </w:pPr>
      <w:r>
        <w:rPr>
          <w:rFonts w:eastAsia="仿宋_GB2312"/>
          <w:sz w:val="32"/>
          <w:szCs w:val="32"/>
        </w:rPr>
        <w:t>1.食品的标签、说明书，不得含有虚假内容，不得涉及疾病预防、治疗功能。非保健食品的标签不得明示或者暗示具有保健功能。</w:t>
      </w:r>
    </w:p>
    <w:p>
      <w:pPr>
        <w:spacing w:line="620" w:lineRule="exact"/>
        <w:ind w:firstLine="640" w:firstLineChars="200"/>
        <w:rPr>
          <w:rFonts w:eastAsia="仿宋_GB2312"/>
          <w:sz w:val="32"/>
          <w:szCs w:val="32"/>
        </w:rPr>
      </w:pPr>
      <w:r>
        <w:rPr>
          <w:rFonts w:eastAsia="仿宋_GB2312"/>
          <w:sz w:val="32"/>
          <w:szCs w:val="32"/>
        </w:rPr>
        <w:t>2.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spacing w:line="620" w:lineRule="exact"/>
        <w:ind w:firstLine="640" w:firstLineChars="200"/>
        <w:rPr>
          <w:rFonts w:eastAsia="仿宋_GB2312"/>
          <w:sz w:val="32"/>
          <w:szCs w:val="32"/>
        </w:rPr>
      </w:pPr>
      <w:r>
        <w:rPr>
          <w:rFonts w:eastAsia="仿宋_GB2312"/>
          <w:sz w:val="32"/>
          <w:szCs w:val="32"/>
        </w:rPr>
        <w:t>3.食品和保健食品广告的内容应当真实合法，不得含有虚假内容，不得涉及疾病预防、治疗功能。保健食品还应当声明“本品不能代替药物”。</w:t>
      </w:r>
    </w:p>
    <w:p>
      <w:pPr>
        <w:spacing w:line="620" w:lineRule="exact"/>
        <w:ind w:firstLine="640" w:firstLineChars="200"/>
        <w:rPr>
          <w:rFonts w:eastAsia="仿宋_GB2312"/>
          <w:sz w:val="32"/>
          <w:szCs w:val="32"/>
        </w:rPr>
      </w:pPr>
      <w:r>
        <w:rPr>
          <w:rFonts w:eastAsia="仿宋_GB2312"/>
          <w:sz w:val="32"/>
          <w:szCs w:val="32"/>
        </w:rPr>
        <w:t>4.食品、保健食品的广告、宣传册、音频视频、会议讲座的内容，都不得偏离标签、说明书标示的内容，严禁涉及疾病预防、治疗功能。</w:t>
      </w:r>
    </w:p>
    <w:p>
      <w:pPr>
        <w:snapToGrid w:val="0"/>
        <w:spacing w:line="620" w:lineRule="exact"/>
        <w:ind w:firstLine="640" w:firstLineChars="200"/>
        <w:rPr>
          <w:rFonts w:eastAsia="仿宋_GB2312"/>
          <w:sz w:val="32"/>
          <w:szCs w:val="32"/>
        </w:rPr>
      </w:pPr>
      <w:r>
        <w:rPr>
          <w:rFonts w:ascii="楷体_GB2312" w:eastAsia="楷体_GB2312"/>
          <w:sz w:val="32"/>
          <w:szCs w:val="32"/>
        </w:rPr>
        <w:t>（三）治理利用网络、会议营销、电视购物、直销、电话营销等方式违法营销宣传、欺诈销售食品和保健食品行为。</w:t>
      </w:r>
      <w:r>
        <w:rPr>
          <w:rFonts w:eastAsia="仿宋_GB2312"/>
          <w:sz w:val="32"/>
          <w:szCs w:val="32"/>
        </w:rPr>
        <w:t>主要包括：</w:t>
      </w:r>
    </w:p>
    <w:p>
      <w:pPr>
        <w:snapToGrid w:val="0"/>
        <w:spacing w:line="620" w:lineRule="exact"/>
        <w:ind w:firstLine="640" w:firstLineChars="200"/>
        <w:rPr>
          <w:rFonts w:eastAsia="仿宋_GB2312"/>
          <w:sz w:val="32"/>
          <w:szCs w:val="32"/>
        </w:rPr>
      </w:pPr>
      <w:r>
        <w:rPr>
          <w:rFonts w:eastAsia="仿宋_GB2312"/>
          <w:sz w:val="32"/>
          <w:szCs w:val="32"/>
        </w:rPr>
        <w:t>1.网络和第三方平台未落实经营许可要求行为。</w:t>
      </w:r>
    </w:p>
    <w:p>
      <w:pPr>
        <w:snapToGrid w:val="0"/>
        <w:spacing w:line="620" w:lineRule="exact"/>
        <w:ind w:firstLine="640" w:firstLineChars="200"/>
        <w:rPr>
          <w:rFonts w:eastAsia="仿宋_GB2312"/>
          <w:sz w:val="32"/>
          <w:szCs w:val="32"/>
        </w:rPr>
      </w:pPr>
      <w:r>
        <w:rPr>
          <w:rFonts w:eastAsia="仿宋_GB2312"/>
          <w:sz w:val="32"/>
          <w:szCs w:val="32"/>
        </w:rPr>
        <w:t>（1）未依法取得许可销售食品、保健食品，未按照许可的经营项目范围从事食品、保健食品经营。</w:t>
      </w:r>
    </w:p>
    <w:p>
      <w:pPr>
        <w:snapToGrid w:val="0"/>
        <w:spacing w:line="620" w:lineRule="exact"/>
        <w:ind w:firstLine="640" w:firstLineChars="200"/>
        <w:rPr>
          <w:rFonts w:eastAsia="仿宋_GB2312"/>
          <w:sz w:val="32"/>
          <w:szCs w:val="32"/>
        </w:rPr>
      </w:pPr>
      <w:r>
        <w:rPr>
          <w:rFonts w:eastAsia="仿宋_GB2312"/>
          <w:sz w:val="32"/>
          <w:szCs w:val="32"/>
        </w:rPr>
        <w:t>（2）通过第三方平台和自建网站交易的食品、保健食品经营者，未在其经营活动主页面显著位置公示其《食品经营许可证》。</w:t>
      </w:r>
    </w:p>
    <w:p>
      <w:pPr>
        <w:snapToGrid w:val="0"/>
        <w:spacing w:line="620" w:lineRule="exact"/>
        <w:ind w:firstLine="640" w:firstLineChars="200"/>
        <w:rPr>
          <w:rFonts w:eastAsia="仿宋_GB2312"/>
          <w:sz w:val="32"/>
          <w:szCs w:val="32"/>
        </w:rPr>
      </w:pPr>
      <w:r>
        <w:rPr>
          <w:rFonts w:eastAsia="仿宋_GB2312"/>
          <w:sz w:val="32"/>
          <w:szCs w:val="32"/>
        </w:rPr>
        <w:t>2.网络和第三方平台违法违规经营行为。</w:t>
      </w:r>
    </w:p>
    <w:p>
      <w:pPr>
        <w:snapToGrid w:val="0"/>
        <w:spacing w:line="620" w:lineRule="exact"/>
        <w:ind w:firstLine="640" w:firstLineChars="200"/>
        <w:rPr>
          <w:rFonts w:eastAsia="仿宋_GB2312"/>
          <w:sz w:val="32"/>
          <w:szCs w:val="32"/>
        </w:rPr>
      </w:pPr>
      <w:r>
        <w:rPr>
          <w:rFonts w:eastAsia="仿宋_GB2312"/>
          <w:sz w:val="32"/>
          <w:szCs w:val="32"/>
        </w:rPr>
        <w:t>（1）网上刊载的食品名称、成分或者配料表、产地、保质期、贮存条件，生产者名称、地址等信息与食品标签或者标识不一致。</w:t>
      </w:r>
    </w:p>
    <w:p>
      <w:pPr>
        <w:snapToGrid w:val="0"/>
        <w:spacing w:line="620" w:lineRule="exact"/>
        <w:ind w:firstLine="640" w:firstLineChars="200"/>
        <w:rPr>
          <w:rFonts w:eastAsia="仿宋_GB2312"/>
          <w:sz w:val="32"/>
          <w:szCs w:val="32"/>
        </w:rPr>
      </w:pPr>
      <w:r>
        <w:rPr>
          <w:rFonts w:eastAsia="仿宋_GB2312"/>
          <w:sz w:val="32"/>
          <w:szCs w:val="32"/>
        </w:rPr>
        <w:t>（2）网上刊载的非保健食品信息明示或者暗示具有疾病预防、治疗或保健功能；网上刊载的保健食品的注册证书或者备案凭证等信息与注册或者备案信息不一致。</w:t>
      </w:r>
    </w:p>
    <w:p>
      <w:pPr>
        <w:snapToGrid w:val="0"/>
        <w:spacing w:line="620" w:lineRule="exact"/>
        <w:ind w:firstLine="640" w:firstLineChars="200"/>
        <w:rPr>
          <w:rFonts w:eastAsia="仿宋_GB2312"/>
          <w:sz w:val="32"/>
          <w:szCs w:val="32"/>
        </w:rPr>
      </w:pPr>
      <w:r>
        <w:rPr>
          <w:rFonts w:eastAsia="仿宋_GB2312"/>
          <w:sz w:val="32"/>
          <w:szCs w:val="32"/>
        </w:rPr>
        <w:t>（3）网上刊载的婴幼儿配方乳粉产品信息明示或者暗示具有益智、增加抵抗力、提高免疫力、保护肠道等功能或者保健作用。</w:t>
      </w:r>
    </w:p>
    <w:p>
      <w:pPr>
        <w:snapToGrid w:val="0"/>
        <w:spacing w:line="620" w:lineRule="exact"/>
        <w:ind w:firstLine="640" w:firstLineChars="200"/>
        <w:rPr>
          <w:rFonts w:eastAsia="仿宋_GB2312"/>
          <w:sz w:val="32"/>
          <w:szCs w:val="32"/>
        </w:rPr>
      </w:pPr>
      <w:r>
        <w:rPr>
          <w:rFonts w:eastAsia="仿宋_GB2312"/>
          <w:sz w:val="32"/>
          <w:szCs w:val="32"/>
        </w:rPr>
        <w:t>（4）对在贮存、运输、食用等方面有特殊要求的食品，未在网上刊载的食品信息中予以说明和提示。</w:t>
      </w:r>
    </w:p>
    <w:p>
      <w:pPr>
        <w:snapToGrid w:val="0"/>
        <w:spacing w:line="620" w:lineRule="exact"/>
        <w:ind w:firstLine="640" w:firstLineChars="200"/>
        <w:rPr>
          <w:rFonts w:eastAsia="仿宋_GB2312"/>
          <w:sz w:val="32"/>
          <w:szCs w:val="32"/>
        </w:rPr>
      </w:pPr>
      <w:r>
        <w:rPr>
          <w:rFonts w:eastAsia="仿宋_GB2312"/>
          <w:sz w:val="32"/>
          <w:szCs w:val="32"/>
        </w:rPr>
        <w:t>（5）特殊医学用途配方食品中特定全营养配方食品进行网络交易。</w:t>
      </w:r>
    </w:p>
    <w:p>
      <w:pPr>
        <w:snapToGrid w:val="0"/>
        <w:spacing w:line="620" w:lineRule="exact"/>
        <w:ind w:firstLine="640" w:firstLineChars="200"/>
        <w:rPr>
          <w:rFonts w:eastAsia="仿宋_GB2312"/>
          <w:sz w:val="32"/>
          <w:szCs w:val="32"/>
        </w:rPr>
      </w:pPr>
      <w:r>
        <w:rPr>
          <w:rFonts w:eastAsia="仿宋_GB2312"/>
          <w:sz w:val="32"/>
          <w:szCs w:val="32"/>
        </w:rPr>
        <w:t>3.网络食品交易第三方平台未落实管理责任行为。</w:t>
      </w:r>
    </w:p>
    <w:p>
      <w:pPr>
        <w:snapToGrid w:val="0"/>
        <w:spacing w:line="620" w:lineRule="exact"/>
        <w:ind w:firstLine="640" w:firstLineChars="200"/>
        <w:rPr>
          <w:rFonts w:eastAsia="仿宋_GB2312"/>
          <w:sz w:val="32"/>
          <w:szCs w:val="32"/>
        </w:rPr>
      </w:pPr>
      <w:r>
        <w:rPr>
          <w:rFonts w:eastAsia="仿宋_GB2312"/>
          <w:sz w:val="32"/>
          <w:szCs w:val="32"/>
        </w:rPr>
        <w:t>（1）第三方平台提供者未建立入网食品生产经营者审查登记、食品安全自查、食品安全违法行为制止及报告、严重违法行为平台服务停止、食品安全投诉举报处理等制度。</w:t>
      </w:r>
    </w:p>
    <w:p>
      <w:pPr>
        <w:snapToGrid w:val="0"/>
        <w:spacing w:line="620" w:lineRule="exact"/>
        <w:ind w:firstLine="640" w:firstLineChars="200"/>
        <w:rPr>
          <w:rFonts w:eastAsia="仿宋_GB2312"/>
          <w:sz w:val="32"/>
          <w:szCs w:val="32"/>
        </w:rPr>
      </w:pPr>
      <w:r>
        <w:rPr>
          <w:rFonts w:eastAsia="仿宋_GB2312"/>
          <w:sz w:val="32"/>
          <w:szCs w:val="32"/>
        </w:rPr>
        <w:t>（2）对入网食品经营者的资质未审查、相关信息未登记更新。</w:t>
      </w:r>
    </w:p>
    <w:p>
      <w:pPr>
        <w:snapToGrid w:val="0"/>
        <w:spacing w:line="620" w:lineRule="exact"/>
        <w:ind w:firstLine="640" w:firstLineChars="200"/>
        <w:rPr>
          <w:rFonts w:eastAsia="仿宋_GB2312"/>
          <w:sz w:val="32"/>
          <w:szCs w:val="32"/>
        </w:rPr>
      </w:pPr>
      <w:r>
        <w:rPr>
          <w:rFonts w:eastAsia="仿宋_GB2312"/>
          <w:sz w:val="32"/>
          <w:szCs w:val="32"/>
        </w:rPr>
        <w:t>（3）未设置专门的网络食品安全管理机构或者指定专职食品安全管理人员，未对平台上的食品经营行为及信息进行检查。</w:t>
      </w:r>
    </w:p>
    <w:p>
      <w:pPr>
        <w:snapToGrid w:val="0"/>
        <w:spacing w:line="620" w:lineRule="exact"/>
        <w:ind w:firstLine="640" w:firstLineChars="200"/>
        <w:rPr>
          <w:rFonts w:eastAsia="仿宋_GB2312"/>
          <w:sz w:val="32"/>
          <w:szCs w:val="32"/>
        </w:rPr>
      </w:pPr>
      <w:r>
        <w:rPr>
          <w:rFonts w:eastAsia="仿宋_GB2312"/>
          <w:sz w:val="32"/>
          <w:szCs w:val="32"/>
        </w:rPr>
        <w:t>4.非实体店未落实许可要求行为。</w:t>
      </w:r>
    </w:p>
    <w:p>
      <w:pPr>
        <w:snapToGrid w:val="0"/>
        <w:spacing w:line="620" w:lineRule="exact"/>
        <w:ind w:firstLine="640" w:firstLineChars="200"/>
        <w:rPr>
          <w:rFonts w:eastAsia="仿宋_GB2312"/>
          <w:sz w:val="32"/>
          <w:szCs w:val="32"/>
        </w:rPr>
      </w:pPr>
      <w:r>
        <w:rPr>
          <w:rFonts w:eastAsia="仿宋_GB2312"/>
          <w:sz w:val="32"/>
          <w:szCs w:val="32"/>
        </w:rPr>
        <w:t>（1）未取得经营许可资质以会议营销、电视购物、电话营销等形式销售食品、保健食品。</w:t>
      </w:r>
    </w:p>
    <w:p>
      <w:pPr>
        <w:snapToGrid w:val="0"/>
        <w:spacing w:line="620" w:lineRule="exact"/>
        <w:ind w:firstLine="640" w:firstLineChars="200"/>
        <w:rPr>
          <w:rFonts w:eastAsia="仿宋_GB2312"/>
          <w:sz w:val="32"/>
          <w:szCs w:val="32"/>
        </w:rPr>
      </w:pPr>
      <w:r>
        <w:rPr>
          <w:rFonts w:eastAsia="仿宋_GB2312"/>
          <w:sz w:val="32"/>
          <w:szCs w:val="32"/>
        </w:rPr>
        <w:t>（2）在许可注册的场所以外经营食品、保健食品。</w:t>
      </w:r>
    </w:p>
    <w:p>
      <w:pPr>
        <w:snapToGrid w:val="0"/>
        <w:spacing w:line="620" w:lineRule="exact"/>
        <w:ind w:firstLine="640" w:firstLineChars="200"/>
        <w:rPr>
          <w:rFonts w:eastAsia="仿宋_GB2312"/>
          <w:sz w:val="32"/>
          <w:szCs w:val="32"/>
        </w:rPr>
      </w:pPr>
      <w:r>
        <w:rPr>
          <w:rFonts w:eastAsia="仿宋_GB2312"/>
          <w:sz w:val="32"/>
          <w:szCs w:val="32"/>
        </w:rPr>
        <w:t>5.非实体店未落实管理责任行为。</w:t>
      </w:r>
    </w:p>
    <w:p>
      <w:pPr>
        <w:snapToGrid w:val="0"/>
        <w:spacing w:line="620" w:lineRule="exact"/>
        <w:ind w:firstLine="640" w:firstLineChars="200"/>
        <w:rPr>
          <w:rFonts w:eastAsia="仿宋_GB2312"/>
          <w:sz w:val="32"/>
          <w:szCs w:val="32"/>
        </w:rPr>
      </w:pPr>
      <w:r>
        <w:rPr>
          <w:rFonts w:eastAsia="仿宋_GB2312"/>
          <w:sz w:val="32"/>
          <w:szCs w:val="32"/>
        </w:rPr>
        <w:t>（1）电视台、报刊、宾馆、会场等第三方平台运营商未审查入场食品经营者的食品经营项目。</w:t>
      </w:r>
    </w:p>
    <w:p>
      <w:pPr>
        <w:snapToGrid w:val="0"/>
        <w:spacing w:line="620" w:lineRule="exact"/>
        <w:ind w:firstLine="640" w:firstLineChars="200"/>
        <w:rPr>
          <w:rFonts w:eastAsia="仿宋_GB2312"/>
          <w:sz w:val="32"/>
          <w:szCs w:val="32"/>
        </w:rPr>
      </w:pPr>
      <w:r>
        <w:rPr>
          <w:rFonts w:eastAsia="仿宋_GB2312"/>
          <w:sz w:val="32"/>
          <w:szCs w:val="32"/>
        </w:rPr>
        <w:t>（2）未定期对入场食品经营者的经营环境、经营条件、经营行为和宣传活动进行检查。</w:t>
      </w:r>
    </w:p>
    <w:p>
      <w:pPr>
        <w:snapToGrid w:val="0"/>
        <w:spacing w:line="620" w:lineRule="exact"/>
        <w:ind w:firstLine="640" w:firstLineChars="200"/>
        <w:rPr>
          <w:rFonts w:eastAsia="仿宋_GB2312"/>
          <w:sz w:val="32"/>
          <w:szCs w:val="32"/>
        </w:rPr>
      </w:pPr>
      <w:r>
        <w:rPr>
          <w:rFonts w:eastAsia="仿宋_GB2312"/>
          <w:sz w:val="32"/>
          <w:szCs w:val="32"/>
        </w:rPr>
        <w:t>（</w:t>
      </w:r>
      <w:r>
        <w:rPr>
          <w:rFonts w:ascii="楷体_GB2312" w:eastAsia="楷体_GB2312"/>
          <w:sz w:val="32"/>
          <w:szCs w:val="32"/>
        </w:rPr>
        <w:t>四）治理未经审查发布保健食品广告以及发布虚假违法食品、保健食品广告行为。</w:t>
      </w:r>
      <w:r>
        <w:rPr>
          <w:rFonts w:eastAsia="仿宋_GB2312"/>
          <w:sz w:val="32"/>
          <w:szCs w:val="32"/>
        </w:rPr>
        <w:t>主要包括：</w:t>
      </w:r>
    </w:p>
    <w:p>
      <w:pPr>
        <w:snapToGrid w:val="0"/>
        <w:spacing w:line="620" w:lineRule="exact"/>
        <w:ind w:firstLine="640" w:firstLineChars="200"/>
        <w:rPr>
          <w:rFonts w:eastAsia="仿宋_GB2312"/>
          <w:sz w:val="32"/>
          <w:szCs w:val="32"/>
        </w:rPr>
      </w:pPr>
      <w:r>
        <w:rPr>
          <w:rFonts w:eastAsia="仿宋_GB2312"/>
          <w:sz w:val="32"/>
          <w:szCs w:val="32"/>
        </w:rPr>
        <w:t>1.食品生产经营者未经审查发布保健食品广告。</w:t>
      </w:r>
    </w:p>
    <w:p>
      <w:pPr>
        <w:snapToGrid w:val="0"/>
        <w:spacing w:line="620" w:lineRule="exact"/>
        <w:ind w:firstLine="640" w:firstLineChars="200"/>
        <w:rPr>
          <w:rFonts w:eastAsia="仿宋_GB2312"/>
          <w:sz w:val="32"/>
          <w:szCs w:val="32"/>
        </w:rPr>
      </w:pPr>
      <w:r>
        <w:rPr>
          <w:rFonts w:eastAsia="仿宋_GB2312"/>
          <w:sz w:val="32"/>
          <w:szCs w:val="32"/>
        </w:rPr>
        <w:t>2.食品生产经营者发布虚假违法食品、保健食品广告。</w:t>
      </w:r>
    </w:p>
    <w:p>
      <w:pPr>
        <w:snapToGrid w:val="0"/>
        <w:spacing w:line="620" w:lineRule="exact"/>
        <w:ind w:firstLine="640" w:firstLineChars="200"/>
        <w:rPr>
          <w:rFonts w:eastAsia="仿宋_GB2312"/>
          <w:sz w:val="32"/>
          <w:szCs w:val="32"/>
        </w:rPr>
      </w:pPr>
      <w:r>
        <w:rPr>
          <w:rFonts w:eastAsia="仿宋_GB2312"/>
          <w:sz w:val="32"/>
          <w:szCs w:val="32"/>
        </w:rPr>
        <w:t>3.食品生产经营者擅自修改广告内容，与批准的广告内容不一致。</w:t>
      </w:r>
    </w:p>
    <w:p>
      <w:pPr>
        <w:snapToGrid w:val="0"/>
        <w:spacing w:line="620" w:lineRule="exact"/>
        <w:ind w:firstLine="640" w:firstLineChars="200"/>
        <w:rPr>
          <w:rFonts w:eastAsia="仿宋_GB2312"/>
          <w:sz w:val="32"/>
          <w:szCs w:val="32"/>
        </w:rPr>
      </w:pPr>
      <w:r>
        <w:rPr>
          <w:rFonts w:ascii="楷体_GB2312" w:eastAsia="楷体_GB2312"/>
          <w:sz w:val="32"/>
          <w:szCs w:val="32"/>
        </w:rPr>
        <w:t>（五）治理其他涉及食品、保健食品欺诈和虚假宣传等违法违规行为。</w:t>
      </w:r>
      <w:r>
        <w:rPr>
          <w:rFonts w:eastAsia="仿宋_GB2312"/>
          <w:sz w:val="32"/>
          <w:szCs w:val="32"/>
        </w:rPr>
        <w:t>主要包括：</w:t>
      </w:r>
    </w:p>
    <w:p>
      <w:pPr>
        <w:snapToGrid w:val="0"/>
        <w:spacing w:line="620" w:lineRule="exact"/>
        <w:ind w:firstLine="640" w:firstLineChars="200"/>
        <w:rPr>
          <w:rFonts w:eastAsia="仿宋_GB2312"/>
          <w:sz w:val="32"/>
          <w:szCs w:val="32"/>
        </w:rPr>
      </w:pPr>
      <w:r>
        <w:rPr>
          <w:rFonts w:eastAsia="仿宋_GB2312"/>
          <w:sz w:val="32"/>
          <w:szCs w:val="32"/>
        </w:rPr>
        <w:t>1.违法违规委托生产保健食品，即委托双方无委托生产协议或协议未明确委托双方产品质量安全责任，委托方没有保健食品注册证明文件或不在有效期内，受托方未能按相关法律法规要求组织生产，标签说明书未标注委托双方企业名称、地址以及受托方许可证编号等内容。</w:t>
      </w:r>
    </w:p>
    <w:p>
      <w:pPr>
        <w:snapToGrid w:val="0"/>
        <w:spacing w:line="620" w:lineRule="exact"/>
        <w:ind w:firstLine="640" w:firstLineChars="200"/>
        <w:rPr>
          <w:rFonts w:eastAsia="仿宋_GB2312"/>
          <w:sz w:val="32"/>
          <w:szCs w:val="32"/>
        </w:rPr>
      </w:pPr>
      <w:r>
        <w:rPr>
          <w:rFonts w:eastAsia="仿宋_GB2312"/>
          <w:sz w:val="32"/>
          <w:szCs w:val="32"/>
        </w:rPr>
        <w:t>2.未按质量安全管理制度或质量管理体系要求生产食品、保健食品，包括未建立并执行原辅材料采购验收、生产过程质量安全管理、贮存管理、设备管理，以及从业人员健康检查和健康档案、业务培训、消费者投诉受理、食品安全事故处置、不合格产品处置等质量安全管理制度，及不具有与所生产的食品、保健食品相适应的专业技术人员和管理人员，组织生产食品、保健食品。</w:t>
      </w:r>
    </w:p>
    <w:p>
      <w:pPr>
        <w:snapToGrid w:val="0"/>
        <w:spacing w:line="620" w:lineRule="exact"/>
        <w:ind w:firstLine="640" w:firstLineChars="200"/>
        <w:rPr>
          <w:rFonts w:eastAsia="仿宋_GB2312"/>
          <w:sz w:val="32"/>
          <w:szCs w:val="32"/>
        </w:rPr>
      </w:pPr>
      <w:r>
        <w:rPr>
          <w:rFonts w:eastAsia="仿宋_GB2312"/>
          <w:sz w:val="32"/>
          <w:szCs w:val="32"/>
        </w:rPr>
        <w:t>3.经营单位未落实索证索票有关要求，存在无食品、保健食品生产企业和供货者的生产许可证明文件，无产品出厂检验合格报告，未建立产品购进和销售台账等问题。</w:t>
      </w:r>
    </w:p>
    <w:p>
      <w:pPr>
        <w:snapToGrid w:val="0"/>
        <w:spacing w:line="620" w:lineRule="exact"/>
        <w:ind w:firstLine="640" w:firstLineChars="200"/>
        <w:rPr>
          <w:rFonts w:ascii="黑体" w:hAnsi="黑体" w:eastAsia="黑体"/>
          <w:sz w:val="32"/>
          <w:szCs w:val="32"/>
        </w:rPr>
      </w:pPr>
      <w:r>
        <w:rPr>
          <w:rFonts w:ascii="黑体" w:hAnsi="黑体" w:eastAsia="黑体"/>
          <w:sz w:val="32"/>
          <w:szCs w:val="32"/>
        </w:rPr>
        <w:t>三、细化整治措施</w:t>
      </w:r>
    </w:p>
    <w:p>
      <w:pPr>
        <w:snapToGrid w:val="0"/>
        <w:spacing w:line="620" w:lineRule="exact"/>
        <w:ind w:firstLine="640" w:firstLineChars="200"/>
        <w:rPr>
          <w:rFonts w:eastAsia="仿宋_GB2312"/>
          <w:sz w:val="32"/>
          <w:szCs w:val="32"/>
        </w:rPr>
      </w:pPr>
      <w:r>
        <w:rPr>
          <w:rFonts w:ascii="楷体_GB2312" w:eastAsia="楷体_GB2312"/>
          <w:sz w:val="32"/>
          <w:szCs w:val="32"/>
        </w:rPr>
        <w:t>（一）摸底排查。</w:t>
      </w:r>
      <w:r>
        <w:rPr>
          <w:rFonts w:eastAsia="仿宋_GB2312"/>
          <w:sz w:val="32"/>
          <w:szCs w:val="32"/>
        </w:rPr>
        <w:t>针对整治工作要求和行政区域实际，遵循风险管理的原则，制定翔实的摸底排查计划、工作报表和台账等。确保覆盖行政区域内食品、保健食品所有生产经营单位、所有产品、所有第三方平台和非实体店、所有广告，做到信息准、底数清、情况明。</w:t>
      </w:r>
    </w:p>
    <w:p>
      <w:pPr>
        <w:snapToGrid w:val="0"/>
        <w:spacing w:line="620" w:lineRule="exact"/>
        <w:ind w:firstLine="640" w:firstLineChars="200"/>
        <w:rPr>
          <w:rFonts w:eastAsia="仿宋_GB2312"/>
          <w:sz w:val="32"/>
          <w:szCs w:val="32"/>
        </w:rPr>
      </w:pPr>
      <w:r>
        <w:rPr>
          <w:rFonts w:eastAsia="仿宋_GB2312"/>
          <w:sz w:val="32"/>
          <w:szCs w:val="32"/>
        </w:rPr>
        <w:t>1.针对生产企业，在日常监督检查生产环境条件、进货查验、生产过程控制、产品检验等情况基础上，重点检查无食品生产许可、不按照批准内容生产、擅自改变生产工艺、非法添加非食用物质（药物）、掺杂使假、产品标签标识虚假宣传等违法行为。</w:t>
      </w:r>
    </w:p>
    <w:p>
      <w:pPr>
        <w:snapToGrid w:val="0"/>
        <w:spacing w:line="620" w:lineRule="exact"/>
        <w:ind w:firstLine="640" w:firstLineChars="200"/>
        <w:rPr>
          <w:rFonts w:eastAsia="仿宋_GB2312"/>
          <w:sz w:val="32"/>
          <w:szCs w:val="32"/>
        </w:rPr>
      </w:pPr>
      <w:r>
        <w:rPr>
          <w:rFonts w:eastAsia="仿宋_GB2312"/>
          <w:sz w:val="32"/>
          <w:szCs w:val="32"/>
        </w:rPr>
        <w:t>2.针对经营单位，在检查食品销售者资质、从业人员健康管理、一般规定执行、禁止性规定执行等情况的基础上，重点检查不具备经营资质、产品标签标识、宣传材料未经批准声称保健功能、宣称具有疾病预防或治疗功能、含有虚假宣传功效等违法行为。</w:t>
      </w:r>
    </w:p>
    <w:p>
      <w:pPr>
        <w:snapToGrid w:val="0"/>
        <w:spacing w:line="620" w:lineRule="exact"/>
        <w:ind w:firstLine="640" w:firstLineChars="200"/>
        <w:rPr>
          <w:rFonts w:eastAsia="仿宋_GB2312"/>
          <w:sz w:val="32"/>
          <w:szCs w:val="32"/>
        </w:rPr>
      </w:pPr>
      <w:r>
        <w:rPr>
          <w:rFonts w:eastAsia="仿宋_GB2312"/>
          <w:sz w:val="32"/>
          <w:szCs w:val="32"/>
        </w:rPr>
        <w:t>3.针对非实体店经营单位，重点检查通过电视购物、电话营销、会议营销、网络营销等方式销售食品或保健食品单位的经营许可资质，以及超范围经营、宣称具有疾病预防或治疗功能、欺骗、欺诈消费者等违法行为。</w:t>
      </w:r>
    </w:p>
    <w:p>
      <w:pPr>
        <w:snapToGrid w:val="0"/>
        <w:spacing w:line="620" w:lineRule="exact"/>
        <w:ind w:firstLine="640" w:firstLineChars="200"/>
        <w:rPr>
          <w:rFonts w:ascii="楷体_GB2312" w:eastAsia="楷体_GB2312"/>
          <w:sz w:val="32"/>
          <w:szCs w:val="32"/>
        </w:rPr>
      </w:pPr>
      <w:r>
        <w:rPr>
          <w:rFonts w:ascii="楷体_GB2312" w:eastAsia="楷体_GB2312"/>
          <w:sz w:val="32"/>
          <w:szCs w:val="32"/>
        </w:rPr>
        <w:t>（二）抽检监测。</w:t>
      </w:r>
    </w:p>
    <w:p>
      <w:pPr>
        <w:adjustRightInd w:val="0"/>
        <w:snapToGrid w:val="0"/>
        <w:spacing w:line="620" w:lineRule="exact"/>
        <w:ind w:firstLine="640" w:firstLineChars="200"/>
        <w:rPr>
          <w:rFonts w:eastAsia="仿宋_GB2312"/>
          <w:sz w:val="32"/>
          <w:szCs w:val="32"/>
        </w:rPr>
      </w:pPr>
      <w:r>
        <w:rPr>
          <w:rFonts w:eastAsia="仿宋_GB2312"/>
          <w:sz w:val="32"/>
          <w:szCs w:val="32"/>
        </w:rPr>
        <w:t>1.总局和省级局各有侧重，分筹备启动、抽样检验和总结上报三个阶段开展抽检监测工作（详见附件1）。</w:t>
      </w:r>
    </w:p>
    <w:p>
      <w:pPr>
        <w:adjustRightInd w:val="0"/>
        <w:snapToGrid w:val="0"/>
        <w:spacing w:line="620" w:lineRule="exact"/>
        <w:ind w:firstLine="640" w:firstLineChars="200"/>
        <w:rPr>
          <w:rFonts w:eastAsia="仿宋_GB2312"/>
          <w:sz w:val="32"/>
          <w:szCs w:val="32"/>
        </w:rPr>
      </w:pPr>
      <w:r>
        <w:rPr>
          <w:rFonts w:eastAsia="仿宋_GB2312"/>
          <w:sz w:val="32"/>
          <w:szCs w:val="32"/>
        </w:rPr>
        <w:t>2.共抽检1400批次，抽检品种主要是取得生产许可证或者进口食品准入资格，但涉嫌非法添加、非法声称产品功效的食品、保健食品。</w:t>
      </w:r>
    </w:p>
    <w:p>
      <w:pPr>
        <w:adjustRightInd w:val="0"/>
        <w:snapToGrid w:val="0"/>
        <w:spacing w:line="620" w:lineRule="exact"/>
        <w:ind w:firstLine="640" w:firstLineChars="200"/>
        <w:rPr>
          <w:rFonts w:eastAsia="仿宋_GB2312"/>
          <w:color w:val="000000"/>
          <w:sz w:val="32"/>
          <w:szCs w:val="32"/>
        </w:rPr>
      </w:pPr>
      <w:r>
        <w:rPr>
          <w:rFonts w:eastAsia="仿宋_GB2312"/>
          <w:sz w:val="32"/>
          <w:szCs w:val="32"/>
        </w:rPr>
        <w:t>3.重点抽检</w:t>
      </w:r>
      <w:r>
        <w:rPr>
          <w:rFonts w:eastAsia="仿宋_GB2312"/>
          <w:color w:val="000000"/>
          <w:sz w:val="32"/>
          <w:szCs w:val="32"/>
        </w:rPr>
        <w:t>虚假宣传或非法声称功效的食品、保健食品中的非食用物质和保健食品中农兽药残留、微生物污染等项目。</w:t>
      </w:r>
    </w:p>
    <w:p>
      <w:pPr>
        <w:adjustRightInd w:val="0"/>
        <w:snapToGrid w:val="0"/>
        <w:spacing w:line="620" w:lineRule="exact"/>
        <w:ind w:firstLine="640" w:firstLineChars="200"/>
        <w:rPr>
          <w:rFonts w:eastAsia="仿宋_GB2312"/>
          <w:sz w:val="32"/>
          <w:szCs w:val="32"/>
        </w:rPr>
      </w:pPr>
      <w:r>
        <w:rPr>
          <w:rFonts w:eastAsia="仿宋_GB2312"/>
          <w:color w:val="000000"/>
          <w:sz w:val="32"/>
          <w:szCs w:val="32"/>
        </w:rPr>
        <w:t>4.重点在大型批发市场、网络销售、会议销售等环节抽样。</w:t>
      </w:r>
    </w:p>
    <w:p>
      <w:pPr>
        <w:snapToGrid w:val="0"/>
        <w:spacing w:line="620" w:lineRule="exact"/>
        <w:ind w:firstLine="640" w:firstLineChars="200"/>
        <w:rPr>
          <w:rFonts w:ascii="楷体_GB2312" w:eastAsia="楷体_GB2312"/>
          <w:sz w:val="32"/>
          <w:szCs w:val="32"/>
        </w:rPr>
      </w:pPr>
      <w:r>
        <w:rPr>
          <w:rFonts w:ascii="楷体_GB2312" w:eastAsia="楷体_GB2312"/>
          <w:sz w:val="32"/>
          <w:szCs w:val="32"/>
        </w:rPr>
        <w:t>（三）案件查处。</w:t>
      </w:r>
    </w:p>
    <w:p>
      <w:pPr>
        <w:snapToGrid w:val="0"/>
        <w:spacing w:line="620" w:lineRule="exact"/>
        <w:ind w:firstLine="640" w:firstLineChars="200"/>
        <w:rPr>
          <w:rFonts w:eastAsia="仿宋_GB2312"/>
          <w:sz w:val="32"/>
          <w:szCs w:val="32"/>
        </w:rPr>
      </w:pPr>
      <w:r>
        <w:rPr>
          <w:rFonts w:eastAsia="仿宋_GB2312"/>
          <w:sz w:val="32"/>
          <w:szCs w:val="32"/>
        </w:rPr>
        <w:t>1.从严查处违法案件。在整治行动期间，各地要通过摸底排查、抽检监测、投诉举报、媒体广告等多种途径，主动收集违法线索，深入开展调查取证，对未经许可从事食品生产经营活动、不按照批准内容生产、擅自改变生产工艺、非法添加非食用物质、声称疾病预防或治疗功能、标签标识虚假宣传等违法违规行为，一律从严处罚，严格依法处罚到人。同时，要追溯涉案食品生产源头，查清销售流向，涉及其他地区的要及时通报，进行全链条打击，彻底摧毁违法食品生产销售网络。</w:t>
      </w:r>
    </w:p>
    <w:p>
      <w:pPr>
        <w:snapToGrid w:val="0"/>
        <w:spacing w:line="620" w:lineRule="exact"/>
        <w:ind w:firstLine="640" w:firstLineChars="200"/>
        <w:rPr>
          <w:rFonts w:eastAsia="仿宋_GB2312"/>
          <w:sz w:val="32"/>
          <w:szCs w:val="32"/>
        </w:rPr>
      </w:pPr>
      <w:r>
        <w:rPr>
          <w:rFonts w:eastAsia="仿宋_GB2312"/>
          <w:sz w:val="32"/>
          <w:szCs w:val="32"/>
        </w:rPr>
        <w:t>2.有效控制涉案食品。对涉案食品要及时采取控制措施，监督企业召回涉案食品，暂停销售，并依法处置，防止再次流入市场。对通过互联网销售涉案食品的，要责成第三方平台停止发布涉案食品销售信息，加强网络巡查，发现涉案食品及时采取措施。</w:t>
      </w:r>
    </w:p>
    <w:p>
      <w:pPr>
        <w:snapToGrid w:val="0"/>
        <w:spacing w:line="620" w:lineRule="exact"/>
        <w:ind w:firstLine="640" w:firstLineChars="200"/>
        <w:rPr>
          <w:rFonts w:eastAsia="仿宋_GB2312"/>
          <w:sz w:val="32"/>
          <w:szCs w:val="32"/>
        </w:rPr>
      </w:pPr>
      <w:r>
        <w:rPr>
          <w:rFonts w:eastAsia="仿宋_GB2312"/>
          <w:sz w:val="32"/>
          <w:szCs w:val="32"/>
        </w:rPr>
        <w:t>3.加强部门沟通。在案件查办过程中，要进一步加强与工业和信息化、公安、工商、网信等部门的沟通合作，对违反食品安全法相关规定的违法行为，及时作出行政处罚，对涉及违法广告以及电视台、报刊、互联网交易平台等第三方平台运营商的，要及时移送工商等相关部门查处；对涉外网站，转请互联网信息管理部门核实处理；涉嫌犯罪的，移送公安机关追究刑事责任。</w:t>
      </w:r>
    </w:p>
    <w:p>
      <w:pPr>
        <w:snapToGrid w:val="0"/>
        <w:spacing w:line="620" w:lineRule="exact"/>
        <w:ind w:firstLine="640" w:firstLineChars="200"/>
        <w:rPr>
          <w:rFonts w:ascii="楷体_GB2312" w:eastAsia="楷体_GB2312"/>
          <w:sz w:val="32"/>
          <w:szCs w:val="32"/>
        </w:rPr>
      </w:pPr>
      <w:r>
        <w:rPr>
          <w:rFonts w:ascii="楷体_GB2312" w:eastAsia="楷体_GB2312"/>
          <w:sz w:val="32"/>
          <w:szCs w:val="32"/>
        </w:rPr>
        <w:t>（四）宣传引导。</w:t>
      </w:r>
    </w:p>
    <w:p>
      <w:pPr>
        <w:snapToGrid w:val="0"/>
        <w:spacing w:line="620" w:lineRule="exact"/>
        <w:ind w:firstLine="640" w:firstLineChars="200"/>
        <w:rPr>
          <w:rFonts w:eastAsia="仿宋_GB2312"/>
          <w:sz w:val="32"/>
          <w:szCs w:val="32"/>
        </w:rPr>
      </w:pPr>
      <w:r>
        <w:rPr>
          <w:rFonts w:eastAsia="仿宋_GB2312"/>
          <w:sz w:val="32"/>
          <w:szCs w:val="32"/>
        </w:rPr>
        <w:t>1.采取“开门整治”，全面落实信息公开有关要求，让人民群众、食品生产经营者、媒体和社会各方面全面了解整治工作情况。</w:t>
      </w:r>
    </w:p>
    <w:p>
      <w:pPr>
        <w:snapToGrid w:val="0"/>
        <w:spacing w:line="620" w:lineRule="exact"/>
        <w:ind w:firstLine="640" w:firstLineChars="200"/>
        <w:rPr>
          <w:rFonts w:eastAsia="仿宋_GB2312"/>
          <w:sz w:val="32"/>
          <w:szCs w:val="32"/>
        </w:rPr>
      </w:pPr>
      <w:r>
        <w:rPr>
          <w:rFonts w:eastAsia="仿宋_GB2312"/>
          <w:sz w:val="32"/>
          <w:szCs w:val="32"/>
        </w:rPr>
        <w:t>（1）关于整治工作所有的检查、抽检、处罚、案件等信息一律向社会公开。</w:t>
      </w:r>
    </w:p>
    <w:p>
      <w:pPr>
        <w:snapToGrid w:val="0"/>
        <w:spacing w:line="620" w:lineRule="exact"/>
        <w:ind w:firstLine="640" w:firstLineChars="200"/>
        <w:rPr>
          <w:rFonts w:eastAsia="仿宋_GB2312"/>
          <w:sz w:val="32"/>
          <w:szCs w:val="32"/>
        </w:rPr>
      </w:pPr>
      <w:r>
        <w:rPr>
          <w:rFonts w:eastAsia="仿宋_GB2312"/>
          <w:sz w:val="32"/>
          <w:szCs w:val="32"/>
        </w:rPr>
        <w:t>（2）发布的信息如果涉及其他地区产品，应在发布前进行通报和交流，涉及全国范围的重大信息，要及时报告国务院食品安全办统一发布或者经国务院食品安全办授权发布。</w:t>
      </w:r>
    </w:p>
    <w:p>
      <w:pPr>
        <w:snapToGrid w:val="0"/>
        <w:spacing w:line="620" w:lineRule="exact"/>
        <w:ind w:firstLine="640" w:firstLineChars="200"/>
        <w:rPr>
          <w:rFonts w:eastAsia="仿宋_GB2312"/>
          <w:sz w:val="32"/>
          <w:szCs w:val="32"/>
        </w:rPr>
      </w:pPr>
      <w:r>
        <w:rPr>
          <w:rFonts w:eastAsia="仿宋_GB2312"/>
          <w:sz w:val="32"/>
          <w:szCs w:val="32"/>
        </w:rPr>
        <w:t>（3）将被吊销许可证的食品生产经营者及其法定代表人、直接负责的主管人员和其他直接责任人员的失信记录，通过国家企业信用信息公示系统推送到相关部门，实施联合惩戒。</w:t>
      </w:r>
    </w:p>
    <w:p>
      <w:pPr>
        <w:snapToGrid w:val="0"/>
        <w:spacing w:line="620" w:lineRule="exact"/>
        <w:ind w:firstLine="640" w:firstLineChars="200"/>
        <w:rPr>
          <w:rFonts w:eastAsia="仿宋_GB2312"/>
          <w:sz w:val="32"/>
          <w:szCs w:val="32"/>
        </w:rPr>
      </w:pPr>
      <w:r>
        <w:rPr>
          <w:rFonts w:eastAsia="仿宋_GB2312"/>
          <w:sz w:val="32"/>
          <w:szCs w:val="32"/>
        </w:rPr>
        <w:t>（4）关于整治工作方案制定、组织实施、督查考评和效果评估等的工作情况，都要向社会公开。</w:t>
      </w:r>
    </w:p>
    <w:p>
      <w:pPr>
        <w:snapToGrid w:val="0"/>
        <w:spacing w:line="620" w:lineRule="exact"/>
        <w:ind w:firstLine="640" w:firstLineChars="200"/>
        <w:rPr>
          <w:rFonts w:eastAsia="仿宋_GB2312"/>
          <w:sz w:val="32"/>
          <w:szCs w:val="32"/>
        </w:rPr>
      </w:pPr>
      <w:r>
        <w:rPr>
          <w:rFonts w:eastAsia="仿宋_GB2312"/>
          <w:sz w:val="32"/>
          <w:szCs w:val="32"/>
        </w:rPr>
        <w:t>2.要采取多种手段和方式开展广泛宣传。</w:t>
      </w:r>
    </w:p>
    <w:p>
      <w:pPr>
        <w:snapToGrid w:val="0"/>
        <w:spacing w:line="620" w:lineRule="exact"/>
        <w:ind w:firstLine="640" w:firstLineChars="200"/>
        <w:rPr>
          <w:rFonts w:eastAsia="仿宋_GB2312"/>
          <w:sz w:val="32"/>
          <w:szCs w:val="32"/>
        </w:rPr>
      </w:pPr>
      <w:r>
        <w:rPr>
          <w:rFonts w:eastAsia="仿宋_GB2312"/>
          <w:sz w:val="32"/>
          <w:szCs w:val="32"/>
        </w:rPr>
        <w:t>（1）宣传内容应结合行政区域生产经营和整治工作实际确定，可以包括整治工作动态和成效，典型案例交流介绍，法律法规和政策解读，食品和保健食品科普知识、消费提示、风险提示等。</w:t>
      </w:r>
    </w:p>
    <w:p>
      <w:pPr>
        <w:snapToGrid w:val="0"/>
        <w:spacing w:line="620" w:lineRule="exact"/>
        <w:ind w:firstLine="640" w:firstLineChars="200"/>
        <w:rPr>
          <w:rFonts w:eastAsia="仿宋_GB2312"/>
          <w:sz w:val="32"/>
          <w:szCs w:val="32"/>
        </w:rPr>
      </w:pPr>
      <w:r>
        <w:rPr>
          <w:rFonts w:eastAsia="仿宋_GB2312"/>
          <w:sz w:val="32"/>
          <w:szCs w:val="32"/>
        </w:rPr>
        <w:t>（2）充分利用政府和行业组织等开设的网站专栏、公众号、微博等平台，采用视频、图片、文字等通俗易懂的形式，调动行业组织、科研院校和社区等的力量，采用宣讲会、互动活动、海报发放等方式组织开展宣传。加强与媒体的沟通交流，定期监测整治工作有关舆情，及时组织回应关切。</w:t>
      </w:r>
    </w:p>
    <w:p>
      <w:pPr>
        <w:snapToGrid w:val="0"/>
        <w:spacing w:line="620" w:lineRule="exact"/>
        <w:ind w:firstLine="640" w:firstLineChars="200"/>
        <w:rPr>
          <w:rFonts w:ascii="楷体_GB2312" w:eastAsia="楷体_GB2312"/>
          <w:sz w:val="32"/>
          <w:szCs w:val="32"/>
        </w:rPr>
      </w:pPr>
      <w:r>
        <w:rPr>
          <w:rFonts w:ascii="楷体_GB2312" w:eastAsia="楷体_GB2312"/>
          <w:sz w:val="32"/>
          <w:szCs w:val="32"/>
        </w:rPr>
        <w:t>（五）信息通报。</w:t>
      </w:r>
    </w:p>
    <w:p>
      <w:pPr>
        <w:snapToGrid w:val="0"/>
        <w:spacing w:line="620" w:lineRule="exact"/>
        <w:ind w:firstLine="640" w:firstLineChars="200"/>
        <w:rPr>
          <w:rFonts w:eastAsia="仿宋_GB2312"/>
          <w:sz w:val="32"/>
          <w:szCs w:val="32"/>
        </w:rPr>
      </w:pPr>
      <w:r>
        <w:rPr>
          <w:rFonts w:eastAsia="仿宋_GB2312"/>
          <w:sz w:val="32"/>
          <w:szCs w:val="32"/>
        </w:rPr>
        <w:t>1.各省级局要建立行政区域信息通报工作体系，通过编发简报、印发文件等方式及时通报省、市、县整治工作进展。各级食品药品监管部门要确保内设机构之间信息交流畅通，无缝衔接整治相关工作。各级食品药品监管部门要加强与有关部门间的信息沟通交流。特别是整治相关案件线索，必须及时通报，及时办理，本级解决不了的，要报告上级部门。加强与行业组织间的信息沟通交流，通报整治发现的风险问题，收集行业和行政区域存在的隐患问题。</w:t>
      </w:r>
    </w:p>
    <w:p>
      <w:pPr>
        <w:snapToGrid w:val="0"/>
        <w:spacing w:line="620" w:lineRule="exact"/>
        <w:ind w:firstLine="640" w:firstLineChars="200"/>
        <w:rPr>
          <w:rFonts w:eastAsia="仿宋_GB2312"/>
          <w:sz w:val="32"/>
          <w:szCs w:val="32"/>
        </w:rPr>
      </w:pPr>
      <w:r>
        <w:rPr>
          <w:rFonts w:eastAsia="仿宋_GB2312"/>
          <w:sz w:val="32"/>
          <w:szCs w:val="32"/>
        </w:rPr>
        <w:t>2.为及时掌握各地整治开展和案件查办等工作情况，实行整治情况月报告和检查整改情况台账制度，以及案件查办情况月报告和重大案件台账制度。各省级局要严格按照要求定期向总局整治办报送各项材料，报送情况汇总后将全国通报并公开。</w:t>
      </w:r>
    </w:p>
    <w:p>
      <w:pPr>
        <w:snapToGrid w:val="0"/>
        <w:spacing w:line="620" w:lineRule="exact"/>
        <w:ind w:firstLine="640" w:firstLineChars="200"/>
        <w:rPr>
          <w:rFonts w:eastAsia="仿宋_GB2312"/>
          <w:b/>
          <w:sz w:val="32"/>
          <w:szCs w:val="32"/>
        </w:rPr>
      </w:pPr>
      <w:r>
        <w:rPr>
          <w:rFonts w:eastAsia="仿宋_GB2312"/>
          <w:sz w:val="32"/>
          <w:szCs w:val="32"/>
        </w:rPr>
        <w:t>（1）每月5日前报送上月生产环节工作情况统计报表（附件2）和检查整改情况台账（附件3），重大问题即时报告。联系人：隋兴元，010-88331037，63600370（传真），suixy＠cfda.gov.cn。</w:t>
      </w:r>
    </w:p>
    <w:p>
      <w:pPr>
        <w:snapToGrid w:val="0"/>
        <w:spacing w:line="620" w:lineRule="exact"/>
        <w:ind w:firstLine="640" w:firstLineChars="200"/>
        <w:rPr>
          <w:rFonts w:eastAsia="仿宋_GB2312"/>
          <w:b/>
          <w:sz w:val="32"/>
          <w:szCs w:val="32"/>
        </w:rPr>
      </w:pPr>
      <w:r>
        <w:rPr>
          <w:rFonts w:eastAsia="仿宋_GB2312"/>
          <w:sz w:val="32"/>
          <w:szCs w:val="32"/>
        </w:rPr>
        <w:t>（2）每月5日前报送上月经营环节工作情况统计报表（附件4）和检查整改情况台账（附件5），重大问题即时报告。联系人：常宇，010-88331110，63600192（传真），changyu＠cfda.gov.cn。</w:t>
      </w:r>
    </w:p>
    <w:p>
      <w:pPr>
        <w:snapToGrid w:val="0"/>
        <w:spacing w:line="620" w:lineRule="exact"/>
        <w:ind w:firstLine="640" w:firstLineChars="200"/>
        <w:rPr>
          <w:rFonts w:eastAsia="仿宋_GB2312"/>
          <w:sz w:val="32"/>
          <w:szCs w:val="32"/>
        </w:rPr>
      </w:pPr>
      <w:r>
        <w:rPr>
          <w:rFonts w:eastAsia="仿宋_GB2312"/>
          <w:sz w:val="32"/>
          <w:szCs w:val="32"/>
        </w:rPr>
        <w:t>（3）汇总本地区案件查办情况，每月5日前报送上月案件查办情况报表（附件6）；同时，对已移送公安机关或联合公安机关查办的案件，以及涉案货值金额50万元以上且涉及2个以上省份的案件，填写重大案件台账（附件7），与月报表一并报送。联系人：邓喜先、陈运儒，010-88331330、88331339，88331360（传真），dengxx@cfda.gov.cn。</w:t>
      </w:r>
    </w:p>
    <w:p>
      <w:pPr>
        <w:snapToGrid w:val="0"/>
        <w:spacing w:line="620" w:lineRule="exact"/>
        <w:ind w:firstLine="640" w:firstLineChars="200"/>
        <w:rPr>
          <w:rFonts w:eastAsia="仿宋_GB2312"/>
          <w:sz w:val="32"/>
          <w:szCs w:val="32"/>
        </w:rPr>
      </w:pPr>
      <w:r>
        <w:rPr>
          <w:rFonts w:eastAsia="仿宋_GB2312"/>
          <w:sz w:val="32"/>
          <w:szCs w:val="32"/>
        </w:rPr>
        <w:t>（4）请各省级局指定联络员，分别负责上述三项材料的报送工作，填写联络员信息表（附件８），于2017年11月</w:t>
      </w:r>
      <w:r>
        <w:rPr>
          <w:rFonts w:hint="eastAsia" w:eastAsia="仿宋_GB2312"/>
          <w:sz w:val="32"/>
          <w:szCs w:val="32"/>
        </w:rPr>
        <w:t>20</w:t>
      </w:r>
      <w:r>
        <w:rPr>
          <w:rFonts w:eastAsia="仿宋_GB2312"/>
          <w:sz w:val="32"/>
          <w:szCs w:val="32"/>
        </w:rPr>
        <w:t>日前报总局整治办。联系人：常亚莉，010-88330438，88330408（传真），zhuanxiangzhengzhi＠cfda.gov.cn。</w:t>
      </w:r>
    </w:p>
    <w:p>
      <w:pPr>
        <w:snapToGrid w:val="0"/>
        <w:spacing w:line="620" w:lineRule="exact"/>
        <w:ind w:firstLine="640" w:firstLineChars="200"/>
        <w:rPr>
          <w:rFonts w:eastAsia="仿宋_GB2312"/>
          <w:sz w:val="32"/>
          <w:szCs w:val="32"/>
        </w:rPr>
      </w:pPr>
      <w:r>
        <w:rPr>
          <w:rFonts w:eastAsia="仿宋_GB2312"/>
          <w:sz w:val="32"/>
          <w:szCs w:val="32"/>
        </w:rPr>
        <w:t>报表和台账的内容应包括整治开始以来的整体情况；报表和台账均需加盖公章后报送，同时报送电子版；第一期报送时间为2017年11月20日，以后按各项材料时间要求报送。</w:t>
      </w:r>
    </w:p>
    <w:p>
      <w:pPr>
        <w:snapToGrid w:val="0"/>
        <w:spacing w:line="620" w:lineRule="exact"/>
        <w:ind w:firstLine="640" w:firstLineChars="200"/>
        <w:rPr>
          <w:rFonts w:eastAsia="仿宋_GB2312"/>
          <w:sz w:val="32"/>
          <w:szCs w:val="32"/>
        </w:rPr>
      </w:pPr>
    </w:p>
    <w:p>
      <w:pPr>
        <w:spacing w:line="620" w:lineRule="exact"/>
        <w:ind w:left="1910" w:leftChars="300" w:hanging="1280" w:hangingChars="400"/>
        <w:rPr>
          <w:rFonts w:eastAsia="仿宋_GB2312"/>
          <w:spacing w:val="-4"/>
          <w:sz w:val="32"/>
          <w:szCs w:val="32"/>
        </w:rPr>
      </w:pPr>
      <w:r>
        <w:rPr>
          <w:rFonts w:eastAsia="仿宋_GB2312"/>
          <w:sz w:val="32"/>
          <w:szCs w:val="32"/>
        </w:rPr>
        <w:t>附件：1.</w:t>
      </w:r>
      <w:r>
        <w:rPr>
          <w:rFonts w:eastAsia="仿宋_GB2312"/>
          <w:spacing w:val="-4"/>
          <w:sz w:val="32"/>
          <w:szCs w:val="32"/>
        </w:rPr>
        <w:t>涉嫌食品、保健食品欺诈和虚假宣传专项整治抽检监测工作方案</w:t>
      </w:r>
    </w:p>
    <w:p>
      <w:pPr>
        <w:spacing w:line="620" w:lineRule="exact"/>
        <w:ind w:left="1842" w:leftChars="743" w:hanging="282" w:hangingChars="88"/>
        <w:rPr>
          <w:rFonts w:eastAsia="仿宋_GB2312"/>
          <w:sz w:val="32"/>
          <w:szCs w:val="32"/>
        </w:rPr>
      </w:pPr>
      <w:r>
        <w:rPr>
          <w:rFonts w:eastAsia="仿宋_GB2312"/>
          <w:sz w:val="32"/>
          <w:szCs w:val="32"/>
        </w:rPr>
        <w:t>2.</w:t>
      </w:r>
      <w:r>
        <w:rPr>
          <w:rFonts w:eastAsia="仿宋_GB2312"/>
          <w:spacing w:val="-4"/>
          <w:sz w:val="32"/>
          <w:szCs w:val="32"/>
        </w:rPr>
        <w:t>食品、保健食品欺诈和虚假宣传整治生产环节工作情况统计报表</w:t>
      </w:r>
    </w:p>
    <w:p>
      <w:pPr>
        <w:spacing w:line="620" w:lineRule="exact"/>
        <w:ind w:left="1861" w:leftChars="743" w:hanging="301" w:hangingChars="94"/>
        <w:rPr>
          <w:rFonts w:eastAsia="仿宋_GB2312"/>
          <w:sz w:val="32"/>
          <w:szCs w:val="32"/>
        </w:rPr>
      </w:pPr>
      <w:r>
        <w:rPr>
          <w:rFonts w:eastAsia="仿宋_GB2312"/>
          <w:sz w:val="32"/>
          <w:szCs w:val="32"/>
        </w:rPr>
        <w:t>3.</w:t>
      </w:r>
      <w:r>
        <w:rPr>
          <w:rFonts w:eastAsia="仿宋_GB2312"/>
          <w:spacing w:val="-4"/>
          <w:sz w:val="32"/>
          <w:szCs w:val="32"/>
        </w:rPr>
        <w:t>食品、保健食品欺诈和虚假宣传整治生产环节工作检查</w:t>
      </w:r>
      <w:r>
        <w:rPr>
          <w:rFonts w:eastAsia="仿宋_GB2312"/>
          <w:sz w:val="32"/>
          <w:szCs w:val="32"/>
        </w:rPr>
        <w:t>整改情况台账</w:t>
      </w:r>
    </w:p>
    <w:p>
      <w:pPr>
        <w:spacing w:line="620" w:lineRule="exact"/>
        <w:ind w:left="1838" w:leftChars="741" w:hanging="282" w:hangingChars="88"/>
        <w:rPr>
          <w:rFonts w:eastAsia="仿宋_GB2312"/>
          <w:spacing w:val="-4"/>
          <w:sz w:val="32"/>
          <w:szCs w:val="32"/>
        </w:rPr>
      </w:pPr>
      <w:r>
        <w:rPr>
          <w:rFonts w:eastAsia="仿宋_GB2312"/>
          <w:sz w:val="32"/>
          <w:szCs w:val="32"/>
        </w:rPr>
        <w:t>4.食</w:t>
      </w:r>
      <w:r>
        <w:rPr>
          <w:rFonts w:eastAsia="仿宋_GB2312"/>
          <w:spacing w:val="-4"/>
          <w:sz w:val="32"/>
          <w:szCs w:val="32"/>
        </w:rPr>
        <w:t>品、保健食品欺诈和虚假宣传整治经营环节工作情况统计报表</w:t>
      </w:r>
    </w:p>
    <w:p>
      <w:pPr>
        <w:spacing w:line="620" w:lineRule="exact"/>
        <w:ind w:left="1838" w:leftChars="741" w:hanging="282" w:hangingChars="88"/>
        <w:rPr>
          <w:rFonts w:eastAsia="仿宋_GB2312"/>
          <w:spacing w:val="-4"/>
          <w:sz w:val="32"/>
          <w:szCs w:val="32"/>
        </w:rPr>
      </w:pPr>
      <w:r>
        <w:rPr>
          <w:rFonts w:eastAsia="仿宋_GB2312"/>
          <w:sz w:val="32"/>
          <w:szCs w:val="32"/>
        </w:rPr>
        <w:t>5.</w:t>
      </w:r>
      <w:r>
        <w:rPr>
          <w:rFonts w:eastAsia="仿宋_GB2312"/>
          <w:spacing w:val="-4"/>
          <w:sz w:val="32"/>
          <w:szCs w:val="32"/>
        </w:rPr>
        <w:t>食品、保健食品欺诈和虚假宣传整治经营环节工作检查整改情况台账</w:t>
      </w:r>
    </w:p>
    <w:p>
      <w:pPr>
        <w:spacing w:line="620" w:lineRule="exact"/>
        <w:ind w:left="1840" w:leftChars="742" w:hanging="282" w:hangingChars="88"/>
        <w:rPr>
          <w:rFonts w:eastAsia="仿宋_GB2312"/>
          <w:sz w:val="32"/>
          <w:szCs w:val="32"/>
        </w:rPr>
      </w:pPr>
      <w:r>
        <w:rPr>
          <w:rFonts w:eastAsia="仿宋_GB2312"/>
          <w:sz w:val="32"/>
          <w:szCs w:val="32"/>
        </w:rPr>
        <w:t>6.食</w:t>
      </w:r>
      <w:r>
        <w:rPr>
          <w:rFonts w:eastAsia="仿宋_GB2312"/>
          <w:spacing w:val="-4"/>
          <w:sz w:val="32"/>
          <w:szCs w:val="32"/>
        </w:rPr>
        <w:t>品、保健食品欺诈和虚假宣传整治案件查办情况统计</w:t>
      </w:r>
      <w:r>
        <w:rPr>
          <w:rFonts w:eastAsia="仿宋_GB2312"/>
          <w:sz w:val="32"/>
          <w:szCs w:val="32"/>
        </w:rPr>
        <w:t>报表</w:t>
      </w:r>
    </w:p>
    <w:p>
      <w:pPr>
        <w:spacing w:line="600" w:lineRule="exact"/>
        <w:ind w:left="210" w:leftChars="100" w:firstLine="1347" w:firstLineChars="421"/>
        <w:rPr>
          <w:rFonts w:eastAsia="仿宋_GB2312"/>
          <w:sz w:val="32"/>
          <w:szCs w:val="32"/>
        </w:rPr>
      </w:pPr>
      <w:r>
        <w:rPr>
          <w:rFonts w:eastAsia="仿宋_GB2312"/>
          <w:sz w:val="32"/>
          <w:szCs w:val="32"/>
        </w:rPr>
        <w:t>7.食品、保健食品欺诈和虚假宣传整治重大案件台账</w:t>
      </w:r>
    </w:p>
    <w:p>
      <w:pPr>
        <w:spacing w:line="600" w:lineRule="exact"/>
        <w:ind w:left="1840" w:leftChars="742" w:hanging="282" w:hangingChars="88"/>
        <w:rPr>
          <w:rFonts w:eastAsia="仿宋_GB2312"/>
          <w:sz w:val="32"/>
          <w:szCs w:val="32"/>
        </w:rPr>
      </w:pPr>
      <w:r>
        <w:rPr>
          <w:rFonts w:eastAsia="仿宋_GB2312"/>
          <w:sz w:val="32"/>
          <w:szCs w:val="32"/>
        </w:rPr>
        <w:t>8.食品、保健食品欺诈和虚假宣传整治工作联络员信息表</w:t>
      </w:r>
    </w:p>
    <w:p>
      <w:pPr>
        <w:spacing w:line="600" w:lineRule="exact"/>
        <w:ind w:firstLine="200"/>
        <w:rPr>
          <w:rFonts w:eastAsia="仿宋_GB2312"/>
          <w:sz w:val="32"/>
          <w:szCs w:val="32"/>
        </w:rPr>
      </w:pPr>
    </w:p>
    <w:p>
      <w:pPr>
        <w:rPr>
          <w:rFonts w:eastAsia="仿宋_GB2312"/>
          <w:sz w:val="32"/>
          <w:szCs w:val="32"/>
        </w:rPr>
      </w:pPr>
    </w:p>
    <w:p>
      <w:pPr>
        <w:rPr>
          <w:rFonts w:eastAsia="仿宋_GB2312"/>
          <w:sz w:val="32"/>
          <w:szCs w:val="32"/>
        </w:rPr>
      </w:pPr>
    </w:p>
    <w:p>
      <w:pPr>
        <w:tabs>
          <w:tab w:val="left" w:pos="6510"/>
        </w:tabs>
        <w:rPr>
          <w:rFonts w:eastAsia="仿宋_GB2312"/>
          <w:sz w:val="32"/>
          <w:szCs w:val="32"/>
        </w:rPr>
      </w:pPr>
      <w:r>
        <w:rPr>
          <w:rFonts w:eastAsia="仿宋_GB2312"/>
          <w:sz w:val="32"/>
          <w:szCs w:val="32"/>
        </w:rPr>
        <w:tab/>
      </w:r>
    </w:p>
    <w:p>
      <w:pPr>
        <w:rPr>
          <w:rFonts w:eastAsia="仿宋_GB2312"/>
          <w:sz w:val="32"/>
          <w:szCs w:val="32"/>
        </w:rPr>
      </w:pPr>
    </w:p>
    <w:p>
      <w:pPr>
        <w:rPr>
          <w:rFonts w:eastAsia="仿宋_GB2312"/>
          <w:sz w:val="32"/>
          <w:szCs w:val="32"/>
        </w:rPr>
        <w:sectPr>
          <w:footerReference r:id="rId4" w:type="default"/>
          <w:footerReference r:id="rId5" w:type="even"/>
          <w:pgSz w:w="11906" w:h="16838"/>
          <w:pgMar w:top="1928" w:right="1531" w:bottom="1814" w:left="1531" w:header="851" w:footer="1134" w:gutter="0"/>
          <w:cols w:space="720" w:num="1"/>
          <w:docGrid w:linePitch="312"/>
        </w:sectPr>
      </w:pPr>
    </w:p>
    <w:p>
      <w:pPr>
        <w:snapToGrid w:val="0"/>
        <w:spacing w:line="560" w:lineRule="exact"/>
        <w:ind w:right="960"/>
        <w:jc w:val="left"/>
        <w:rPr>
          <w:rFonts w:ascii="黑体" w:hAnsi="黑体" w:eastAsia="黑体"/>
          <w:sz w:val="32"/>
          <w:szCs w:val="32"/>
        </w:rPr>
      </w:pPr>
      <w:r>
        <w:rPr>
          <w:rFonts w:ascii="黑体" w:hAnsi="黑体" w:eastAsia="黑体"/>
          <w:sz w:val="32"/>
          <w:szCs w:val="32"/>
        </w:rPr>
        <w:t>附件１</w:t>
      </w:r>
    </w:p>
    <w:p>
      <w:pPr>
        <w:snapToGrid w:val="0"/>
        <w:spacing w:line="560" w:lineRule="exact"/>
        <w:ind w:right="960"/>
        <w:jc w:val="center"/>
        <w:rPr>
          <w:rFonts w:eastAsia="黑体"/>
          <w:sz w:val="32"/>
          <w:szCs w:val="32"/>
        </w:rPr>
      </w:pPr>
    </w:p>
    <w:p>
      <w:pPr>
        <w:snapToGrid w:val="0"/>
        <w:spacing w:line="700" w:lineRule="exact"/>
        <w:jc w:val="center"/>
        <w:rPr>
          <w:rFonts w:eastAsia="方正小标宋简体"/>
          <w:sz w:val="44"/>
          <w:szCs w:val="44"/>
        </w:rPr>
      </w:pPr>
      <w:r>
        <w:rPr>
          <w:rFonts w:eastAsia="方正小标宋简体"/>
          <w:sz w:val="44"/>
          <w:szCs w:val="44"/>
        </w:rPr>
        <w:t>涉嫌食品、保健食品欺诈和虚假宣传</w:t>
      </w:r>
    </w:p>
    <w:p>
      <w:pPr>
        <w:snapToGrid w:val="0"/>
        <w:spacing w:line="700" w:lineRule="exact"/>
        <w:jc w:val="center"/>
        <w:rPr>
          <w:rFonts w:eastAsia="方正小标宋简体"/>
          <w:sz w:val="44"/>
          <w:szCs w:val="44"/>
        </w:rPr>
      </w:pPr>
      <w:r>
        <w:rPr>
          <w:rFonts w:eastAsia="方正小标宋简体"/>
          <w:sz w:val="44"/>
          <w:szCs w:val="44"/>
        </w:rPr>
        <w:t>专项整治抽检监测工作方案</w:t>
      </w:r>
    </w:p>
    <w:p>
      <w:pPr>
        <w:snapToGrid w:val="0"/>
        <w:spacing w:line="560" w:lineRule="exact"/>
        <w:ind w:firstLine="640" w:firstLineChars="200"/>
        <w:jc w:val="center"/>
        <w:rPr>
          <w:rFonts w:eastAsia="仿宋_GB2312"/>
          <w:color w:val="000000"/>
          <w:sz w:val="32"/>
          <w:szCs w:val="32"/>
        </w:rPr>
      </w:pPr>
    </w:p>
    <w:p>
      <w:pPr>
        <w:pStyle w:val="6"/>
        <w:spacing w:line="560" w:lineRule="exact"/>
      </w:pPr>
      <w:r>
        <w:t>一、工作内容</w:t>
      </w:r>
    </w:p>
    <w:p>
      <w:pPr>
        <w:adjustRightInd w:val="0"/>
        <w:snapToGrid w:val="0"/>
        <w:spacing w:line="620" w:lineRule="exact"/>
        <w:ind w:firstLine="640" w:firstLineChars="200"/>
        <w:rPr>
          <w:rFonts w:eastAsia="仿宋_GB2312"/>
          <w:color w:val="000000"/>
          <w:sz w:val="32"/>
          <w:szCs w:val="32"/>
        </w:rPr>
      </w:pPr>
      <w:r>
        <w:rPr>
          <w:rFonts w:hint="eastAsia" w:ascii="楷体_GB2312" w:eastAsia="楷体_GB2312"/>
          <w:sz w:val="32"/>
          <w:szCs w:val="32"/>
        </w:rPr>
        <w:t>（一）抽检品种。</w:t>
      </w:r>
      <w:r>
        <w:rPr>
          <w:rFonts w:eastAsia="仿宋_GB2312"/>
          <w:color w:val="000000"/>
          <w:sz w:val="32"/>
          <w:szCs w:val="32"/>
        </w:rPr>
        <w:t>取得生产许可证或者进口食品准入资格，但涉嫌非法添加、非法声称产品功效的食品、保健食品。其中保健食品主要抽检虚假宣传改善睡眠类、辅助降血糖类、辅助降血脂类、辅助降血压类、减肥类、缓解体力疲劳类、提高免疫力类（以下简称7类功能）的产品（含进口保健食品）；食品主要抽检非法声称上述7类功能的玛咖类、配制酒、阿胶类、压片糖果等其他产品（含进口食品）。</w:t>
      </w:r>
    </w:p>
    <w:p>
      <w:pPr>
        <w:adjustRightInd w:val="0"/>
        <w:snapToGrid w:val="0"/>
        <w:spacing w:line="620" w:lineRule="exact"/>
        <w:ind w:firstLine="640" w:firstLineChars="200"/>
        <w:rPr>
          <w:rFonts w:eastAsia="仿宋_GB2312"/>
          <w:color w:val="000000"/>
          <w:sz w:val="32"/>
          <w:szCs w:val="32"/>
          <w:u w:val="single"/>
        </w:rPr>
      </w:pPr>
      <w:r>
        <w:rPr>
          <w:rFonts w:ascii="楷体_GB2312" w:eastAsia="楷体_GB2312"/>
          <w:sz w:val="32"/>
          <w:szCs w:val="32"/>
        </w:rPr>
        <w:t>（二）检验项目。</w:t>
      </w:r>
      <w:r>
        <w:rPr>
          <w:rFonts w:eastAsia="仿宋_GB2312"/>
          <w:color w:val="000000"/>
          <w:sz w:val="32"/>
          <w:szCs w:val="32"/>
        </w:rPr>
        <w:t>重点抽检虚假宣传或非法声称功效的食品、保健食品中的非食用物质，同时保健食品还需检验农兽药残留、微生物污染、重金属污染、功效成分及标志性成分等项目（见附1和附2）。</w:t>
      </w:r>
    </w:p>
    <w:p>
      <w:pPr>
        <w:adjustRightInd w:val="0"/>
        <w:snapToGrid w:val="0"/>
        <w:spacing w:line="620" w:lineRule="exact"/>
        <w:ind w:firstLine="640" w:firstLineChars="200"/>
        <w:rPr>
          <w:rFonts w:eastAsia="仿宋_GB2312"/>
          <w:color w:val="000000"/>
          <w:sz w:val="32"/>
          <w:szCs w:val="32"/>
        </w:rPr>
      </w:pPr>
      <w:r>
        <w:rPr>
          <w:rFonts w:ascii="楷体_GB2312" w:eastAsia="楷体_GB2312"/>
          <w:sz w:val="32"/>
          <w:szCs w:val="32"/>
        </w:rPr>
        <w:t>（三）抽样环节。</w:t>
      </w:r>
      <w:r>
        <w:rPr>
          <w:rFonts w:eastAsia="仿宋_GB2312"/>
          <w:color w:val="000000"/>
          <w:sz w:val="32"/>
          <w:szCs w:val="32"/>
        </w:rPr>
        <w:t>重点对大型批发市场、网络销售、会议销售、电视购物、电话营销等环节的产品进行抽样。</w:t>
      </w:r>
    </w:p>
    <w:p>
      <w:pPr>
        <w:pStyle w:val="6"/>
        <w:spacing w:line="620" w:lineRule="exact"/>
      </w:pPr>
      <w:r>
        <w:t>二、任务分工及进度安排</w:t>
      </w:r>
    </w:p>
    <w:p>
      <w:pPr>
        <w:adjustRightInd w:val="0"/>
        <w:snapToGrid w:val="0"/>
        <w:spacing w:line="620" w:lineRule="exact"/>
        <w:ind w:firstLine="640" w:firstLineChars="200"/>
        <w:rPr>
          <w:rFonts w:eastAsia="仿宋_GB2312"/>
          <w:color w:val="000000"/>
          <w:sz w:val="32"/>
          <w:szCs w:val="32"/>
        </w:rPr>
      </w:pPr>
      <w:r>
        <w:rPr>
          <w:rFonts w:ascii="楷体_GB2312" w:eastAsia="楷体_GB2312"/>
          <w:sz w:val="32"/>
          <w:szCs w:val="32"/>
        </w:rPr>
        <w:t>（一）抽检数量。</w:t>
      </w:r>
      <w:r>
        <w:rPr>
          <w:rFonts w:eastAsia="仿宋_GB2312"/>
          <w:color w:val="000000"/>
          <w:sz w:val="32"/>
          <w:szCs w:val="32"/>
        </w:rPr>
        <w:t>共抽检1400批次，保健食品与食品抽检数量比例原则上为1:1。总局本级抽检200批次；省级局抽检1200批次，其中西藏、新疆各抽检20批次，其他省（区、市）各抽检40批次。各省级局在抽检保健食品时，虚假宣传7类功能的产品抽样量原则上不少于80%，其余可以结合实际抽检其他功能类产品。</w:t>
      </w:r>
    </w:p>
    <w:p>
      <w:pPr>
        <w:adjustRightInd w:val="0"/>
        <w:snapToGrid w:val="0"/>
        <w:spacing w:line="620" w:lineRule="exact"/>
        <w:ind w:firstLine="640" w:firstLineChars="200"/>
        <w:rPr>
          <w:rFonts w:ascii="楷体_GB2312" w:eastAsia="楷体_GB2312"/>
          <w:sz w:val="32"/>
          <w:szCs w:val="32"/>
        </w:rPr>
      </w:pPr>
      <w:r>
        <w:rPr>
          <w:rFonts w:ascii="楷体_GB2312" w:eastAsia="楷体_GB2312"/>
          <w:sz w:val="32"/>
          <w:szCs w:val="32"/>
        </w:rPr>
        <w:t>（二）任务分工。</w:t>
      </w:r>
    </w:p>
    <w:p>
      <w:pPr>
        <w:adjustRightInd w:val="0"/>
        <w:snapToGrid w:val="0"/>
        <w:spacing w:line="620" w:lineRule="exact"/>
        <w:ind w:firstLine="640" w:firstLineChars="200"/>
        <w:rPr>
          <w:rFonts w:eastAsia="仿宋_GB2312"/>
          <w:color w:val="000000"/>
          <w:sz w:val="32"/>
          <w:szCs w:val="32"/>
        </w:rPr>
      </w:pPr>
      <w:r>
        <w:rPr>
          <w:rFonts w:eastAsia="仿宋_GB2312"/>
          <w:color w:val="000000"/>
          <w:sz w:val="32"/>
          <w:szCs w:val="32"/>
        </w:rPr>
        <w:t>1.总局本级以网络抽检（大型第三方平台）和全国大型批发市场为主，重点抽检媒体曝光、投诉举报或广告监测中发现问题的企业。</w:t>
      </w:r>
    </w:p>
    <w:p>
      <w:pPr>
        <w:adjustRightInd w:val="0"/>
        <w:snapToGrid w:val="0"/>
        <w:spacing w:line="620" w:lineRule="exact"/>
        <w:ind w:firstLine="640" w:firstLineChars="200"/>
        <w:rPr>
          <w:rFonts w:eastAsia="仿宋_GB2312"/>
          <w:color w:val="000000"/>
          <w:sz w:val="32"/>
          <w:szCs w:val="32"/>
          <w:u w:val="single"/>
        </w:rPr>
      </w:pPr>
      <w:r>
        <w:rPr>
          <w:rFonts w:eastAsia="仿宋_GB2312"/>
          <w:color w:val="000000"/>
          <w:sz w:val="32"/>
          <w:szCs w:val="32"/>
        </w:rPr>
        <w:t>2.省级局结合日常监管、投诉举报和广告监测工作，梳理问题线索，建立抽检的重点企业、重点产品名单。以行政区域内保健食品批发市场（总局本级抽检的批发市场除外）、街边店、性用品店、保健养生会所、会议销售、电视购物及其他问题高发区域为主，并对行政区域内入网经营者进行抽检。</w:t>
      </w:r>
    </w:p>
    <w:p>
      <w:pPr>
        <w:adjustRightInd w:val="0"/>
        <w:snapToGrid w:val="0"/>
        <w:spacing w:line="620" w:lineRule="exact"/>
        <w:ind w:firstLine="640" w:firstLineChars="200"/>
        <w:rPr>
          <w:rFonts w:ascii="楷体_GB2312" w:eastAsia="楷体_GB2312"/>
          <w:sz w:val="32"/>
          <w:szCs w:val="32"/>
        </w:rPr>
      </w:pPr>
      <w:r>
        <w:rPr>
          <w:rFonts w:ascii="楷体_GB2312" w:eastAsia="楷体_GB2312"/>
          <w:sz w:val="32"/>
          <w:szCs w:val="32"/>
        </w:rPr>
        <w:t>（三）进度安排。</w:t>
      </w:r>
    </w:p>
    <w:p>
      <w:pPr>
        <w:adjustRightInd w:val="0"/>
        <w:snapToGrid w:val="0"/>
        <w:spacing w:line="620" w:lineRule="exact"/>
        <w:ind w:firstLine="640" w:firstLineChars="200"/>
        <w:rPr>
          <w:rFonts w:eastAsia="仿宋_GB2312"/>
          <w:color w:val="000000"/>
          <w:sz w:val="32"/>
          <w:szCs w:val="32"/>
        </w:rPr>
      </w:pPr>
      <w:r>
        <w:rPr>
          <w:rFonts w:eastAsia="仿宋_GB2312"/>
          <w:color w:val="000000"/>
          <w:sz w:val="32"/>
          <w:szCs w:val="32"/>
        </w:rPr>
        <w:t>1.筹备启动阶段。组织召开专题会，征求部分省级局意见及建议，起草并印发专项整治抽检监测工作方案。各省级局根据工作方案制定具体实施计划，做好方案启动前的各项准备工作。</w:t>
      </w:r>
    </w:p>
    <w:p>
      <w:pPr>
        <w:adjustRightInd w:val="0"/>
        <w:snapToGrid w:val="0"/>
        <w:spacing w:line="620" w:lineRule="exact"/>
        <w:ind w:firstLine="640" w:firstLineChars="200"/>
        <w:rPr>
          <w:rFonts w:eastAsia="仿宋_GB2312"/>
          <w:color w:val="000000"/>
          <w:sz w:val="32"/>
          <w:szCs w:val="32"/>
        </w:rPr>
      </w:pPr>
      <w:r>
        <w:rPr>
          <w:rFonts w:eastAsia="仿宋_GB2312"/>
          <w:color w:val="000000"/>
          <w:sz w:val="32"/>
          <w:szCs w:val="32"/>
        </w:rPr>
        <w:t>2.抽样检验阶段。各省级局组织开展专项抽检任务，全部抽样及检验工作应于2017年12月20日前完成。抽检结果应同时录入“国家食品安全抽检监测信息系统”（以下简称信息系统）中相应的普通食品和保健食品模块。</w:t>
      </w:r>
    </w:p>
    <w:p>
      <w:pPr>
        <w:adjustRightInd w:val="0"/>
        <w:snapToGrid w:val="0"/>
        <w:spacing w:line="620" w:lineRule="exact"/>
        <w:ind w:firstLine="640" w:firstLineChars="200"/>
        <w:rPr>
          <w:rFonts w:eastAsia="仿宋_GB2312"/>
          <w:sz w:val="32"/>
          <w:szCs w:val="32"/>
        </w:rPr>
      </w:pPr>
      <w:r>
        <w:rPr>
          <w:rFonts w:eastAsia="仿宋_GB2312"/>
          <w:color w:val="000000"/>
          <w:sz w:val="32"/>
          <w:szCs w:val="32"/>
        </w:rPr>
        <w:t>3.总结上报阶段。各省级局应于2017年12月30日前将工作总结上报总局，由中国食品药品检定研究院技术监督中心统一收集。中国食品药品检定研究院技术监督中心会同食监三司整理形成专项抽检监测工作报告，报总局整治办。</w:t>
      </w:r>
    </w:p>
    <w:p>
      <w:pPr>
        <w:pStyle w:val="6"/>
        <w:spacing w:line="620" w:lineRule="exact"/>
      </w:pPr>
      <w:r>
        <w:t>三、工作要求</w:t>
      </w:r>
    </w:p>
    <w:p>
      <w:pPr>
        <w:adjustRightInd w:val="0"/>
        <w:snapToGrid w:val="0"/>
        <w:spacing w:line="620" w:lineRule="exact"/>
        <w:ind w:firstLine="640" w:firstLineChars="200"/>
        <w:rPr>
          <w:rFonts w:eastAsia="仿宋_GB2312"/>
          <w:color w:val="000000"/>
          <w:sz w:val="32"/>
          <w:szCs w:val="32"/>
        </w:rPr>
      </w:pPr>
      <w:r>
        <w:rPr>
          <w:rFonts w:eastAsia="仿宋_GB2312"/>
          <w:color w:val="000000"/>
          <w:sz w:val="32"/>
          <w:szCs w:val="32"/>
        </w:rPr>
        <w:t>（</w:t>
      </w:r>
      <w:r>
        <w:rPr>
          <w:rFonts w:ascii="楷体_GB2312" w:eastAsia="楷体_GB2312"/>
          <w:sz w:val="32"/>
          <w:szCs w:val="32"/>
        </w:rPr>
        <w:t>一）加强组织领导。</w:t>
      </w:r>
      <w:r>
        <w:rPr>
          <w:rFonts w:eastAsia="仿宋_GB2312"/>
          <w:color w:val="000000"/>
          <w:sz w:val="32"/>
          <w:szCs w:val="32"/>
        </w:rPr>
        <w:t>各省级局要高度重视此次专项行动，要结合本地实际，细化工作方案，明确工作责任，及时组织检查和评估，确保工作成效。总局将适时开展督导抽查，并对排名靠后的省份进行通报。</w:t>
      </w:r>
    </w:p>
    <w:p>
      <w:pPr>
        <w:snapToGrid w:val="0"/>
        <w:spacing w:line="620" w:lineRule="exact"/>
        <w:ind w:firstLine="640" w:firstLineChars="200"/>
        <w:jc w:val="left"/>
        <w:rPr>
          <w:rFonts w:eastAsia="仿宋_GB2312"/>
          <w:color w:val="000000"/>
          <w:sz w:val="32"/>
          <w:szCs w:val="32"/>
        </w:rPr>
      </w:pPr>
      <w:r>
        <w:rPr>
          <w:rFonts w:eastAsia="仿宋_GB2312"/>
          <w:color w:val="000000"/>
          <w:sz w:val="32"/>
          <w:szCs w:val="32"/>
        </w:rPr>
        <w:t>（</w:t>
      </w:r>
      <w:r>
        <w:rPr>
          <w:rFonts w:ascii="楷体_GB2312" w:eastAsia="楷体_GB2312"/>
          <w:sz w:val="32"/>
          <w:szCs w:val="32"/>
        </w:rPr>
        <w:t>二）规范抽检行为。</w:t>
      </w:r>
      <w:r>
        <w:rPr>
          <w:rFonts w:eastAsia="仿宋_GB2312"/>
          <w:color w:val="000000"/>
          <w:sz w:val="32"/>
          <w:szCs w:val="32"/>
        </w:rPr>
        <w:t>抽样人员和承检机构在抽检工作中要严格按照《食品安全抽样检验管理办法》（国家食品药品监督管理总局令第11号）、《食品检验工作规范》（食药监科〔2016〕170号）、《国家食品安全监督抽检实施细则（2017年版）》等规定执行。各省级局应积极协助</w:t>
      </w:r>
      <w:r>
        <w:rPr>
          <w:rFonts w:eastAsia="仿宋_GB2312"/>
          <w:sz w:val="32"/>
          <w:szCs w:val="32"/>
        </w:rPr>
        <w:t>总</w:t>
      </w:r>
      <w:r>
        <w:rPr>
          <w:rFonts w:eastAsia="仿宋_GB2312"/>
          <w:color w:val="000000"/>
          <w:sz w:val="32"/>
          <w:szCs w:val="32"/>
        </w:rPr>
        <w:t>局本级承检机构开展的异地抽样工作，在样品采集、运输等方面提供必要的帮助。</w:t>
      </w:r>
    </w:p>
    <w:p>
      <w:pPr>
        <w:snapToGrid w:val="0"/>
        <w:spacing w:line="620" w:lineRule="exact"/>
        <w:ind w:firstLine="640" w:firstLineChars="200"/>
        <w:jc w:val="left"/>
        <w:rPr>
          <w:rFonts w:eastAsia="仿宋_GB2312"/>
          <w:color w:val="000000"/>
          <w:sz w:val="32"/>
          <w:szCs w:val="32"/>
        </w:rPr>
      </w:pPr>
      <w:r>
        <w:rPr>
          <w:rFonts w:ascii="楷体_GB2312" w:eastAsia="楷体_GB2312"/>
          <w:sz w:val="32"/>
          <w:szCs w:val="32"/>
        </w:rPr>
        <w:t>（三）严格工作时限。</w:t>
      </w:r>
      <w:r>
        <w:rPr>
          <w:rFonts w:eastAsia="仿宋_GB2312"/>
          <w:color w:val="000000"/>
          <w:sz w:val="32"/>
          <w:szCs w:val="32"/>
        </w:rPr>
        <w:t>各承检机构应严格按照规定时限完成全部的抽样检验并按要求报送数据，发现不合格样品中含有非食用物质或其他可能存在较高或急性健康风险的，应当在确认检验结果后24小时内，向企业所在地食品药品监管部门报告。</w:t>
      </w:r>
    </w:p>
    <w:p>
      <w:pPr>
        <w:snapToGrid w:val="0"/>
        <w:spacing w:line="620" w:lineRule="exact"/>
        <w:ind w:firstLine="640" w:firstLineChars="200"/>
        <w:jc w:val="left"/>
        <w:rPr>
          <w:rFonts w:eastAsia="仿宋_GB2312"/>
          <w:color w:val="000000"/>
          <w:sz w:val="32"/>
          <w:szCs w:val="32"/>
        </w:rPr>
      </w:pPr>
      <w:r>
        <w:rPr>
          <w:rFonts w:ascii="楷体_GB2312" w:eastAsia="楷体_GB2312"/>
          <w:sz w:val="32"/>
          <w:szCs w:val="32"/>
        </w:rPr>
        <w:t>（四）依法核查处置。</w:t>
      </w:r>
      <w:r>
        <w:rPr>
          <w:rFonts w:eastAsia="仿宋_GB2312"/>
          <w:sz w:val="32"/>
          <w:szCs w:val="32"/>
        </w:rPr>
        <w:t>各级食品药品监管部门收到不合格或问题检验</w:t>
      </w:r>
      <w:r>
        <w:rPr>
          <w:rFonts w:eastAsia="仿宋_GB2312"/>
          <w:color w:val="000000"/>
          <w:sz w:val="32"/>
          <w:szCs w:val="32"/>
        </w:rPr>
        <w:t>报告后，应根据总局相关规定，及时启动对生产经营者的核查处置，依法严肃处理，并将核查处置情况及时填报信息系统中对应模块。监督抽检结论表明可能对身体健康和生命安全造成严重危害的，食品药品监管部门应在24小时内将检验结论送达，启动核查处置工作，并依法从严查处。</w:t>
      </w:r>
    </w:p>
    <w:p>
      <w:pPr>
        <w:snapToGrid w:val="0"/>
        <w:spacing w:line="620" w:lineRule="exact"/>
        <w:ind w:firstLine="640" w:firstLineChars="200"/>
        <w:jc w:val="left"/>
        <w:rPr>
          <w:rFonts w:eastAsia="仿宋_GB2312"/>
          <w:color w:val="000000"/>
          <w:sz w:val="32"/>
          <w:szCs w:val="32"/>
        </w:rPr>
      </w:pPr>
      <w:r>
        <w:rPr>
          <w:rFonts w:ascii="楷体_GB2312" w:eastAsia="楷体_GB2312"/>
          <w:sz w:val="32"/>
          <w:szCs w:val="32"/>
        </w:rPr>
        <w:t>（五）及时发布信息。</w:t>
      </w:r>
      <w:r>
        <w:rPr>
          <w:rFonts w:eastAsia="仿宋_GB2312"/>
          <w:sz w:val="32"/>
          <w:szCs w:val="32"/>
        </w:rPr>
        <w:t>总局和省级</w:t>
      </w:r>
      <w:r>
        <w:rPr>
          <w:rFonts w:eastAsia="仿宋_GB2312"/>
          <w:color w:val="000000"/>
          <w:sz w:val="32"/>
          <w:szCs w:val="32"/>
        </w:rPr>
        <w:t>局</w:t>
      </w:r>
      <w:r>
        <w:rPr>
          <w:rFonts w:eastAsia="仿宋_GB2312"/>
          <w:sz w:val="32"/>
          <w:szCs w:val="32"/>
        </w:rPr>
        <w:t>汇总抽检结果后，应按照食品安全监督抽检信息公布程序及时向社会发布专项不合格产品的抽检信息。省级局应当按要求及时公布风险防控措施、公开不合格产品核查处置结果，并向总局报告。</w:t>
      </w:r>
    </w:p>
    <w:p>
      <w:pPr>
        <w:snapToGrid w:val="0"/>
        <w:spacing w:line="620" w:lineRule="exact"/>
        <w:ind w:firstLine="640" w:firstLineChars="200"/>
        <w:jc w:val="left"/>
        <w:rPr>
          <w:rFonts w:ascii="楷体_GB2312" w:eastAsia="楷体_GB2312"/>
          <w:sz w:val="32"/>
          <w:szCs w:val="32"/>
        </w:rPr>
      </w:pPr>
      <w:r>
        <w:rPr>
          <w:rFonts w:ascii="楷体_GB2312" w:eastAsia="楷体_GB2312"/>
          <w:sz w:val="32"/>
          <w:szCs w:val="32"/>
        </w:rPr>
        <w:t>（六）其他要求。</w:t>
      </w:r>
    </w:p>
    <w:p>
      <w:pPr>
        <w:adjustRightInd w:val="0"/>
        <w:snapToGrid w:val="0"/>
        <w:spacing w:line="620" w:lineRule="exact"/>
        <w:ind w:firstLine="640" w:firstLineChars="200"/>
        <w:rPr>
          <w:rFonts w:eastAsia="仿宋_GB2312"/>
          <w:color w:val="000000"/>
          <w:sz w:val="32"/>
          <w:szCs w:val="32"/>
          <w:u w:val="single"/>
        </w:rPr>
      </w:pPr>
      <w:r>
        <w:rPr>
          <w:rFonts w:eastAsia="仿宋_GB2312"/>
          <w:color w:val="000000"/>
          <w:sz w:val="32"/>
          <w:szCs w:val="32"/>
        </w:rPr>
        <w:t>1.对于法定方法以外的非法添加成分及无资质项目，承检机构可以出具风险监测报告，并应明确是否为问题样品。鼓励承检机构在完成规定检验项目的基础上，对其他项目开展探索性研究（包含非法定方法）。</w:t>
      </w:r>
    </w:p>
    <w:p>
      <w:pPr>
        <w:snapToGrid w:val="0"/>
        <w:spacing w:line="620" w:lineRule="exact"/>
        <w:ind w:firstLine="640" w:firstLineChars="200"/>
        <w:rPr>
          <w:rFonts w:eastAsia="仿宋_GB2312"/>
          <w:color w:val="000000"/>
          <w:sz w:val="32"/>
          <w:szCs w:val="32"/>
        </w:rPr>
      </w:pPr>
      <w:r>
        <w:rPr>
          <w:rFonts w:eastAsia="仿宋_GB2312"/>
          <w:color w:val="000000"/>
          <w:sz w:val="32"/>
          <w:szCs w:val="32"/>
        </w:rPr>
        <w:t>2.抽取的保健食品和其他产品分别填写“国家保健食品安全抽样检验抽样单”和“国家食品安全抽样检验抽样单”，数据分别报送至信息系统相应的保健食品和普通食品模块。</w:t>
      </w:r>
    </w:p>
    <w:p>
      <w:pPr>
        <w:snapToGrid w:val="0"/>
        <w:spacing w:line="620" w:lineRule="exact"/>
        <w:ind w:firstLine="640" w:firstLineChars="200"/>
        <w:rPr>
          <w:rFonts w:eastAsia="仿宋_GB2312"/>
          <w:color w:val="000000"/>
          <w:sz w:val="32"/>
          <w:szCs w:val="32"/>
        </w:rPr>
      </w:pPr>
      <w:r>
        <w:rPr>
          <w:rFonts w:eastAsia="仿宋_GB2312"/>
          <w:color w:val="000000"/>
          <w:sz w:val="32"/>
          <w:szCs w:val="32"/>
        </w:rPr>
        <w:t>3.本次抽检监测经费由各省（区、市）自行承担。</w:t>
      </w:r>
    </w:p>
    <w:p>
      <w:pPr>
        <w:snapToGrid w:val="0"/>
        <w:spacing w:line="620" w:lineRule="exact"/>
        <w:ind w:firstLine="640" w:firstLineChars="200"/>
        <w:rPr>
          <w:rFonts w:eastAsia="仿宋_GB2312"/>
          <w:color w:val="000000"/>
          <w:sz w:val="32"/>
          <w:szCs w:val="32"/>
        </w:rPr>
      </w:pPr>
      <w:r>
        <w:rPr>
          <w:rFonts w:eastAsia="仿宋_GB2312"/>
          <w:color w:val="000000"/>
          <w:sz w:val="32"/>
          <w:szCs w:val="32"/>
        </w:rPr>
        <w:t>4.各省级局为落实《国务院食品安全办等9部门关于印发食品、保健食品欺诈和虚假宣传整治方案的通知》（食安办</w:t>
      </w:r>
      <w:r>
        <w:rPr>
          <w:rFonts w:eastAsia="仿宋_GB2312"/>
          <w:sz w:val="32"/>
          <w:szCs w:val="32"/>
        </w:rPr>
        <w:t>〔2017〕</w:t>
      </w:r>
      <w:r>
        <w:rPr>
          <w:rFonts w:eastAsia="仿宋_GB2312"/>
          <w:color w:val="000000"/>
          <w:sz w:val="32"/>
          <w:szCs w:val="32"/>
        </w:rPr>
        <w:t>20号）的工作要求已经组织开展的抽检监测工作，且符合本专项工作方案的要求，可以纳入此次专项，并将相关数据录入信息系统。</w:t>
      </w:r>
    </w:p>
    <w:p>
      <w:pPr>
        <w:snapToGrid w:val="0"/>
        <w:spacing w:line="620" w:lineRule="exact"/>
        <w:ind w:firstLine="640" w:firstLineChars="200"/>
        <w:rPr>
          <w:rFonts w:eastAsia="仿宋_GB2312"/>
          <w:color w:val="000000"/>
          <w:sz w:val="32"/>
          <w:szCs w:val="32"/>
        </w:rPr>
      </w:pPr>
      <w:r>
        <w:rPr>
          <w:rFonts w:eastAsia="仿宋_GB2312"/>
          <w:color w:val="000000"/>
          <w:sz w:val="32"/>
          <w:szCs w:val="32"/>
        </w:rPr>
        <w:t>5.每批次抽样量各单位可根据实际情况进行调整。</w:t>
      </w:r>
    </w:p>
    <w:p>
      <w:pPr>
        <w:snapToGrid w:val="0"/>
        <w:spacing w:line="620" w:lineRule="exact"/>
        <w:ind w:firstLine="640" w:firstLineChars="200"/>
        <w:rPr>
          <w:rFonts w:eastAsia="仿宋_GB2312"/>
          <w:sz w:val="32"/>
          <w:szCs w:val="32"/>
        </w:rPr>
      </w:pPr>
      <w:r>
        <w:rPr>
          <w:rFonts w:eastAsia="仿宋_GB2312"/>
          <w:sz w:val="32"/>
          <w:szCs w:val="32"/>
        </w:rPr>
        <w:t>联系人：祝壮飞、李慧晨，010-53851431、010-88330539</w:t>
      </w:r>
    </w:p>
    <w:p>
      <w:pPr>
        <w:snapToGrid w:val="0"/>
        <w:spacing w:line="620" w:lineRule="exact"/>
        <w:ind w:firstLine="640" w:firstLineChars="200"/>
        <w:rPr>
          <w:rFonts w:eastAsia="仿宋_GB2312"/>
          <w:sz w:val="32"/>
          <w:szCs w:val="32"/>
        </w:rPr>
      </w:pPr>
    </w:p>
    <w:p>
      <w:pPr>
        <w:snapToGrid w:val="0"/>
        <w:spacing w:line="620" w:lineRule="exact"/>
        <w:ind w:firstLine="640" w:firstLineChars="200"/>
        <w:rPr>
          <w:rFonts w:eastAsia="仿宋_GB2312"/>
          <w:sz w:val="32"/>
          <w:szCs w:val="32"/>
        </w:rPr>
      </w:pPr>
      <w:r>
        <w:rPr>
          <w:rFonts w:eastAsia="仿宋_GB2312"/>
          <w:sz w:val="32"/>
          <w:szCs w:val="32"/>
        </w:rPr>
        <w:t>附：1.保健食品检验项目表</w:t>
      </w:r>
    </w:p>
    <w:p>
      <w:pPr>
        <w:snapToGrid w:val="0"/>
        <w:spacing w:line="620" w:lineRule="exact"/>
        <w:ind w:firstLine="640" w:firstLineChars="200"/>
        <w:rPr>
          <w:rFonts w:eastAsia="黑体"/>
          <w:kern w:val="0"/>
          <w:sz w:val="30"/>
          <w:szCs w:val="30"/>
        </w:rPr>
        <w:sectPr>
          <w:pgSz w:w="11906" w:h="16838"/>
          <w:pgMar w:top="1928" w:right="1531" w:bottom="1814" w:left="1531" w:header="851" w:footer="1134" w:gutter="0"/>
          <w:cols w:space="720" w:num="1"/>
          <w:docGrid w:linePitch="312"/>
        </w:sectPr>
      </w:pPr>
      <w:r>
        <w:rPr>
          <w:rFonts w:eastAsia="仿宋_GB2312"/>
          <w:sz w:val="32"/>
          <w:szCs w:val="32"/>
        </w:rPr>
        <w:t xml:space="preserve">    2.食品检验项目表</w:t>
      </w:r>
    </w:p>
    <w:p>
      <w:pPr>
        <w:widowControl/>
        <w:spacing w:line="560" w:lineRule="exact"/>
        <w:jc w:val="left"/>
        <w:rPr>
          <w:rFonts w:ascii="黑体" w:hAnsi="黑体" w:eastAsia="黑体"/>
          <w:sz w:val="32"/>
          <w:szCs w:val="32"/>
        </w:rPr>
      </w:pPr>
      <w:r>
        <w:rPr>
          <w:rFonts w:ascii="黑体" w:hAnsi="黑体" w:eastAsia="黑体"/>
          <w:sz w:val="32"/>
          <w:szCs w:val="32"/>
        </w:rPr>
        <w:t>附1</w:t>
      </w:r>
    </w:p>
    <w:p>
      <w:pPr>
        <w:widowControl/>
        <w:spacing w:line="500" w:lineRule="exact"/>
        <w:jc w:val="center"/>
        <w:rPr>
          <w:rFonts w:eastAsia="黑体"/>
          <w:sz w:val="32"/>
          <w:szCs w:val="32"/>
        </w:rPr>
      </w:pPr>
    </w:p>
    <w:p>
      <w:pPr>
        <w:widowControl/>
        <w:spacing w:line="560" w:lineRule="exact"/>
        <w:jc w:val="center"/>
        <w:rPr>
          <w:rFonts w:eastAsia="方正小标宋简体"/>
          <w:sz w:val="44"/>
          <w:szCs w:val="44"/>
        </w:rPr>
      </w:pPr>
      <w:r>
        <w:rPr>
          <w:rFonts w:eastAsia="方正小标宋简体"/>
          <w:sz w:val="44"/>
          <w:szCs w:val="44"/>
        </w:rPr>
        <w:t>保健食品检验项目表</w:t>
      </w:r>
    </w:p>
    <w:p>
      <w:pPr>
        <w:widowControl/>
        <w:spacing w:line="560" w:lineRule="exact"/>
        <w:jc w:val="center"/>
        <w:rPr>
          <w:rFonts w:eastAsia="方正小标宋简体"/>
          <w:sz w:val="44"/>
          <w:szCs w:val="44"/>
        </w:rPr>
      </w:pPr>
    </w:p>
    <w:tbl>
      <w:tblPr>
        <w:tblW w:w="9542" w:type="dxa"/>
        <w:jc w:val="center"/>
        <w:tblInd w:w="-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97"/>
        <w:gridCol w:w="1275"/>
        <w:gridCol w:w="2127"/>
        <w:gridCol w:w="5443"/>
      </w:tblGrid>
      <w:tr>
        <w:trPr>
          <w:cantSplit/>
          <w:trHeight w:val="731" w:hRule="atLeast"/>
          <w:tblHeader/>
          <w:jc w:val="center"/>
        </w:trPr>
        <w:tc>
          <w:tcPr>
            <w:tcW w:w="69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ascii="黑体" w:hAnsi="黑体" w:eastAsia="黑体"/>
                <w:sz w:val="24"/>
              </w:rPr>
            </w:pPr>
            <w:r>
              <w:rPr>
                <w:rFonts w:ascii="黑体" w:hAnsi="黑体" w:eastAsia="黑体"/>
                <w:sz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ascii="黑体" w:hAnsi="黑体" w:eastAsia="黑体"/>
                <w:sz w:val="24"/>
              </w:rPr>
            </w:pPr>
            <w:r>
              <w:rPr>
                <w:rFonts w:ascii="黑体" w:hAnsi="黑体" w:eastAsia="黑体"/>
                <w:sz w:val="24"/>
              </w:rPr>
              <w:t>任务类别</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ascii="黑体" w:hAnsi="黑体" w:eastAsia="黑体"/>
                <w:sz w:val="24"/>
              </w:rPr>
            </w:pPr>
            <w:r>
              <w:rPr>
                <w:rFonts w:ascii="黑体" w:hAnsi="黑体" w:eastAsia="黑体"/>
                <w:sz w:val="24"/>
              </w:rPr>
              <w:t>类别、声称类别</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ascii="黑体" w:hAnsi="黑体" w:eastAsia="黑体"/>
                <w:sz w:val="24"/>
              </w:rPr>
            </w:pPr>
            <w:r>
              <w:rPr>
                <w:rFonts w:ascii="黑体" w:hAnsi="黑体" w:eastAsia="黑体"/>
                <w:sz w:val="24"/>
              </w:rPr>
              <w:t>检验项目（检测成分）</w:t>
            </w:r>
          </w:p>
        </w:tc>
      </w:tr>
      <w:tr>
        <w:trPr>
          <w:cantSplit/>
          <w:trHeight w:val="126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减肥类样品</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left"/>
              <w:rPr>
                <w:rFonts w:eastAsia="仿宋_GB2312"/>
                <w:sz w:val="24"/>
              </w:rPr>
            </w:pPr>
            <w:r>
              <w:rPr>
                <w:rFonts w:eastAsia="仿宋_GB2312"/>
                <w:sz w:val="24"/>
              </w:rPr>
              <w:t>西布曲明、N-单去甲基西布曲明、N,N-双去甲基西布曲明、芬氟拉明、麻黄碱、酚酞、呋塞米</w:t>
            </w:r>
          </w:p>
        </w:tc>
      </w:tr>
      <w:tr>
        <w:trPr>
          <w:cantSplit/>
          <w:trHeight w:val="178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辅助降血糖类</w:t>
            </w:r>
          </w:p>
          <w:p>
            <w:pPr>
              <w:overflowPunct w:val="0"/>
              <w:topLinePunct w:val="1"/>
              <w:snapToGrid w:val="0"/>
              <w:spacing w:line="280" w:lineRule="exact"/>
              <w:jc w:val="center"/>
              <w:rPr>
                <w:rFonts w:eastAsia="仿宋_GB2312"/>
                <w:sz w:val="24"/>
              </w:rPr>
            </w:pPr>
            <w:r>
              <w:rPr>
                <w:rFonts w:eastAsia="仿宋_GB2312"/>
                <w:sz w:val="24"/>
              </w:rPr>
              <w:t>样品</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left"/>
              <w:rPr>
                <w:rFonts w:eastAsia="仿宋_GB2312"/>
                <w:sz w:val="24"/>
              </w:rPr>
            </w:pPr>
            <w:r>
              <w:rPr>
                <w:rFonts w:eastAsia="仿宋_GB2312"/>
                <w:sz w:val="24"/>
              </w:rPr>
              <w:t>甲苯磺丁脲、格列本脲、格列齐特、格列吡嗪、格列喹酮、格列美脲、马来酸罗格列酮、瑞格列奈、盐酸吡格列酮、盐酸二甲双胍、盐酸苯乙双胍、盐酸丁二胍、格列波脲</w:t>
            </w:r>
          </w:p>
        </w:tc>
      </w:tr>
      <w:tr>
        <w:trPr>
          <w:cantSplit/>
          <w:trHeight w:val="22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改善睡眠类样品</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left"/>
              <w:rPr>
                <w:rFonts w:eastAsia="仿宋_GB2312"/>
                <w:sz w:val="24"/>
              </w:rPr>
            </w:pPr>
            <w:r>
              <w:rPr>
                <w:rFonts w:eastAsia="仿宋_GB2312"/>
                <w:sz w:val="24"/>
              </w:rPr>
              <w:t>氯氮卓、马来酸咪达唑仑、硝西泮、艾司唑仑、奥沙西泮、阿普唑仑、劳拉西泮、氯硝西泮、三唑仑、地西泮、巴比妥、苯巴比妥、司可巴比妥、异戊巴比妥、氯美扎酮、褪黑素、佐匹克隆、氯苯那敏、扎来普隆、文拉法辛、青藤碱、罗通定</w:t>
            </w:r>
          </w:p>
        </w:tc>
      </w:tr>
      <w:tr>
        <w:trPr>
          <w:cantSplit/>
          <w:trHeight w:val="173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缓解体力疲劳类/提高免疫力类</w:t>
            </w:r>
          </w:p>
          <w:p>
            <w:pPr>
              <w:overflowPunct w:val="0"/>
              <w:topLinePunct w:val="1"/>
              <w:snapToGrid w:val="0"/>
              <w:spacing w:line="280" w:lineRule="exact"/>
              <w:jc w:val="center"/>
              <w:rPr>
                <w:rFonts w:eastAsia="仿宋_GB2312"/>
                <w:sz w:val="24"/>
              </w:rPr>
            </w:pPr>
            <w:r>
              <w:rPr>
                <w:rFonts w:eastAsia="仿宋_GB2312"/>
                <w:sz w:val="24"/>
              </w:rPr>
              <w:t>样品</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left"/>
              <w:rPr>
                <w:rFonts w:eastAsia="仿宋_GB2312"/>
                <w:sz w:val="24"/>
              </w:rPr>
            </w:pPr>
            <w:r>
              <w:rPr>
                <w:rFonts w:eastAsia="仿宋_GB2312"/>
                <w:sz w:val="24"/>
              </w:rPr>
              <w:t>那红地那非、红地那非、伐地那非、羟基豪莫西地那非、西地那非、豪莫西地那非、氨基他达拉非、他达拉非、硫代艾地那非、伪伐地那非、那莫西地那非、去甲基他达拉非、硫代西地那非</w:t>
            </w:r>
          </w:p>
        </w:tc>
      </w:tr>
      <w:tr>
        <w:trPr>
          <w:cantSplit/>
          <w:trHeight w:val="114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辅助降血压类</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left"/>
              <w:rPr>
                <w:rFonts w:eastAsia="仿宋_GB2312"/>
                <w:sz w:val="24"/>
              </w:rPr>
            </w:pPr>
            <w:r>
              <w:rPr>
                <w:rFonts w:eastAsia="仿宋_GB2312"/>
                <w:sz w:val="24"/>
              </w:rPr>
              <w:t>阿替洛尔、盐酸可乐定、氢氯噻嗪、卡托普利、哌唑嗪、利血平、硝苯地平、氨氯地平、尼群地平、尼莫地平、尼索地平、非洛地平</w:t>
            </w:r>
          </w:p>
        </w:tc>
      </w:tr>
      <w:tr>
        <w:trPr>
          <w:cantSplit/>
          <w:trHeight w:val="86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辅助降血脂</w:t>
            </w:r>
          </w:p>
          <w:p>
            <w:pPr>
              <w:overflowPunct w:val="0"/>
              <w:topLinePunct w:val="1"/>
              <w:snapToGrid w:val="0"/>
              <w:spacing w:line="280" w:lineRule="exact"/>
              <w:jc w:val="center"/>
              <w:rPr>
                <w:rFonts w:eastAsia="仿宋_GB2312"/>
                <w:sz w:val="24"/>
              </w:rPr>
            </w:pPr>
            <w:r>
              <w:rPr>
                <w:rFonts w:eastAsia="仿宋_GB2312"/>
                <w:sz w:val="24"/>
              </w:rPr>
              <w:t>类样品</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left"/>
              <w:rPr>
                <w:rFonts w:eastAsia="仿宋_GB2312"/>
                <w:sz w:val="24"/>
              </w:rPr>
            </w:pPr>
            <w:r>
              <w:rPr>
                <w:rFonts w:eastAsia="仿宋_GB2312"/>
                <w:sz w:val="24"/>
              </w:rPr>
              <w:t>洛伐他汀、辛伐他汀、烟酸</w:t>
            </w:r>
          </w:p>
        </w:tc>
      </w:tr>
      <w:tr>
        <w:trPr>
          <w:cantSplit/>
          <w:trHeight w:val="100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风险监测</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辅助降血脂</w:t>
            </w:r>
          </w:p>
          <w:p>
            <w:pPr>
              <w:overflowPunct w:val="0"/>
              <w:topLinePunct w:val="1"/>
              <w:snapToGrid w:val="0"/>
              <w:spacing w:line="280" w:lineRule="exact"/>
              <w:jc w:val="center"/>
              <w:rPr>
                <w:rFonts w:eastAsia="仿宋_GB2312"/>
                <w:sz w:val="24"/>
              </w:rPr>
            </w:pPr>
            <w:r>
              <w:rPr>
                <w:rFonts w:eastAsia="仿宋_GB2312"/>
                <w:sz w:val="24"/>
              </w:rPr>
              <w:t>类样品</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left"/>
              <w:rPr>
                <w:rFonts w:eastAsia="仿宋_GB2312"/>
                <w:sz w:val="24"/>
              </w:rPr>
            </w:pPr>
            <w:r>
              <w:rPr>
                <w:rFonts w:eastAsia="仿宋_GB2312"/>
                <w:sz w:val="24"/>
              </w:rPr>
              <w:t>美伐他汀、去羟基洛伐他汀、洛伐他汀羟酸钠盐</w:t>
            </w:r>
          </w:p>
        </w:tc>
      </w:tr>
      <w:tr>
        <w:trPr>
          <w:cantSplit/>
          <w:trHeight w:val="307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8</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减肥/辅助降血脂类样品</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left"/>
              <w:rPr>
                <w:rFonts w:eastAsia="仿宋_GB2312"/>
                <w:sz w:val="24"/>
              </w:rPr>
            </w:pPr>
            <w:r>
              <w:rPr>
                <w:rFonts w:eastAsia="仿宋_GB2312"/>
                <w:sz w:val="24"/>
              </w:rPr>
              <w:t>苯丙醇胺、去甲伪麻黄碱、麻黄碱、伪麻黄碱、甲基麻黄碱、安非他明、甲基安非他明、咖啡因、分特拉明、氯卡色林、安非他酮、芬氟拉明、N,N-双去甲基西布曲明、氟西汀、酚酞、N-单去甲基西布曲明、吲达帕胺、西布曲明、苄基西布曲明、豪莫西布曲明、比沙可啶、氯代西布曲明、苯扎贝特、布美他尼、洛伐他汀、辛伐他汀、利莫那班、非诺贝特、奥利司他、氯噻嗪、氢氯噻嗪、普伐他汀、呋塞米</w:t>
            </w:r>
          </w:p>
        </w:tc>
      </w:tr>
      <w:tr>
        <w:trPr>
          <w:cantSplit/>
          <w:trHeight w:val="489" w:hRule="atLeast"/>
          <w:jc w:val="center"/>
        </w:trPr>
        <w:tc>
          <w:tcPr>
            <w:tcW w:w="69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9</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所有样品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铅（Pb）</w:t>
            </w:r>
          </w:p>
        </w:tc>
      </w:tr>
      <w:tr>
        <w:trPr>
          <w:cantSplit/>
          <w:trHeight w:val="557"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总砷（As）</w:t>
            </w:r>
          </w:p>
        </w:tc>
      </w:tr>
      <w:tr>
        <w:trPr>
          <w:cantSplit/>
          <w:trHeight w:val="557"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总汞（Hg）</w:t>
            </w:r>
          </w:p>
        </w:tc>
      </w:tr>
      <w:tr>
        <w:trPr>
          <w:cantSplit/>
          <w:trHeight w:val="624" w:hRule="atLeast"/>
          <w:jc w:val="center"/>
        </w:trPr>
        <w:tc>
          <w:tcPr>
            <w:tcW w:w="69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10</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口服液、茶剂样品</w:t>
            </w:r>
          </w:p>
        </w:tc>
        <w:tc>
          <w:tcPr>
            <w:tcW w:w="5443" w:type="dxa"/>
            <w:tcBorders>
              <w:top w:val="single" w:color="auto" w:sz="4" w:space="0"/>
              <w:left w:val="single" w:color="auto" w:sz="4" w:space="0"/>
              <w:bottom w:val="single" w:color="auto" w:sz="4" w:space="0"/>
              <w:right w:val="single" w:color="auto" w:sz="4" w:space="0"/>
            </w:tcBorders>
            <w:vAlign w:val="center"/>
          </w:tcPr>
          <w:p>
            <w:pPr>
              <w:overflowPunct w:val="0"/>
              <w:topLinePunct w:val="1"/>
              <w:snapToGrid w:val="0"/>
              <w:spacing w:line="280" w:lineRule="exact"/>
              <w:jc w:val="left"/>
              <w:rPr>
                <w:rFonts w:eastAsia="仿宋_GB2312"/>
                <w:sz w:val="24"/>
              </w:rPr>
            </w:pPr>
            <w:r>
              <w:rPr>
                <w:rFonts w:eastAsia="仿宋_GB2312"/>
                <w:sz w:val="24"/>
              </w:rPr>
              <w:t>菌落总数</w:t>
            </w:r>
          </w:p>
        </w:tc>
      </w:tr>
      <w:tr>
        <w:trPr>
          <w:cantSplit/>
          <w:trHeight w:val="516"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大肠菌群</w:t>
            </w:r>
          </w:p>
        </w:tc>
      </w:tr>
      <w:tr>
        <w:trPr>
          <w:cantSplit/>
          <w:trHeight w:val="489"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霉菌和酵母</w:t>
            </w:r>
          </w:p>
        </w:tc>
      </w:tr>
      <w:tr>
        <w:trPr>
          <w:cantSplit/>
          <w:trHeight w:val="644"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金黄色葡萄球菌</w:t>
            </w:r>
          </w:p>
        </w:tc>
      </w:tr>
      <w:tr>
        <w:trPr>
          <w:cantSplit/>
          <w:trHeight w:val="597"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沙门氏菌</w:t>
            </w:r>
          </w:p>
        </w:tc>
      </w:tr>
      <w:tr>
        <w:trPr>
          <w:cantSplit/>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11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pStyle w:val="5"/>
              <w:jc w:val="center"/>
              <w:rPr>
                <w:rFonts w:eastAsia="仿宋_GB2312"/>
                <w:color w:val="auto"/>
                <w:kern w:val="2"/>
              </w:rPr>
            </w:pPr>
            <w:r>
              <w:rPr>
                <w:rFonts w:eastAsia="仿宋_GB2312"/>
                <w:color w:val="auto"/>
                <w:kern w:val="2"/>
              </w:rPr>
              <w:t>硬胶囊样品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胶囊壳中的铬</w:t>
            </w:r>
          </w:p>
        </w:tc>
      </w:tr>
      <w:tr>
        <w:trPr>
          <w:cantSplit/>
          <w:trHeight w:val="6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12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pStyle w:val="5"/>
              <w:jc w:val="center"/>
              <w:rPr>
                <w:rFonts w:eastAsia="仿宋_GB2312"/>
                <w:color w:val="auto"/>
                <w:kern w:val="2"/>
              </w:rPr>
            </w:pPr>
            <w:r>
              <w:rPr>
                <w:rFonts w:eastAsia="仿宋_GB2312"/>
                <w:color w:val="auto"/>
                <w:kern w:val="2"/>
              </w:rPr>
              <w:t>不少于50%的样品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功效/标志性成分</w:t>
            </w:r>
          </w:p>
        </w:tc>
      </w:tr>
      <w:tr>
        <w:trPr>
          <w:cantSplit/>
          <w:trHeight w:val="734" w:hRule="atLeast"/>
          <w:jc w:val="center"/>
        </w:trPr>
        <w:tc>
          <w:tcPr>
            <w:tcW w:w="69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14</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eastAsia="仿宋_GB2312"/>
                <w:color w:val="auto"/>
                <w:kern w:val="2"/>
              </w:rPr>
            </w:pPr>
            <w:r>
              <w:rPr>
                <w:rFonts w:eastAsia="仿宋_GB2312"/>
                <w:color w:val="auto"/>
                <w:kern w:val="2"/>
              </w:rPr>
              <w:t>风险监测</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eastAsia="仿宋_GB2312"/>
                <w:color w:val="auto"/>
                <w:kern w:val="2"/>
              </w:rPr>
            </w:pPr>
            <w:r>
              <w:rPr>
                <w:rFonts w:eastAsia="仿宋_GB2312"/>
                <w:color w:val="auto"/>
                <w:kern w:val="2"/>
              </w:rPr>
              <w:t>以植物或者菌类直接作为原料的样品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毒死蜱、甲萘威</w:t>
            </w:r>
          </w:p>
        </w:tc>
      </w:tr>
      <w:tr>
        <w:trPr>
          <w:cantSplit/>
          <w:trHeight w:val="642"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六六六、滴滴涕</w:t>
            </w:r>
          </w:p>
        </w:tc>
      </w:tr>
      <w:tr>
        <w:trPr>
          <w:cantSplit/>
          <w:trHeight w:val="60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15</w:t>
            </w:r>
          </w:p>
        </w:tc>
        <w:tc>
          <w:tcPr>
            <w:tcW w:w="1275" w:type="dxa"/>
            <w:tcBorders>
              <w:top w:val="single" w:color="auto" w:sz="4" w:space="0"/>
              <w:left w:val="single" w:color="auto" w:sz="4" w:space="0"/>
              <w:bottom w:val="single" w:color="auto" w:sz="4" w:space="0"/>
              <w:right w:val="single" w:color="auto" w:sz="4" w:space="0"/>
            </w:tcBorders>
            <w:vAlign w:val="center"/>
          </w:tcPr>
          <w:p>
            <w:pPr>
              <w:pStyle w:val="5"/>
              <w:jc w:val="center"/>
              <w:rPr>
                <w:rFonts w:eastAsia="仿宋_GB2312"/>
                <w:color w:val="auto"/>
                <w:kern w:val="2"/>
              </w:rPr>
            </w:pPr>
            <w:r>
              <w:rPr>
                <w:rFonts w:eastAsia="仿宋_GB2312"/>
                <w:color w:val="auto"/>
                <w:kern w:val="2"/>
              </w:rPr>
              <w:t>风险监测</w:t>
            </w:r>
          </w:p>
        </w:tc>
        <w:tc>
          <w:tcPr>
            <w:tcW w:w="2127" w:type="dxa"/>
            <w:tcBorders>
              <w:top w:val="single" w:color="auto" w:sz="4" w:space="0"/>
              <w:left w:val="single" w:color="auto" w:sz="4" w:space="0"/>
              <w:bottom w:val="single" w:color="auto" w:sz="4" w:space="0"/>
              <w:right w:val="single" w:color="auto" w:sz="4" w:space="0"/>
            </w:tcBorders>
            <w:vAlign w:val="center"/>
          </w:tcPr>
          <w:p>
            <w:pPr>
              <w:pStyle w:val="5"/>
              <w:jc w:val="center"/>
              <w:rPr>
                <w:rFonts w:eastAsia="仿宋_GB2312"/>
                <w:color w:val="auto"/>
                <w:kern w:val="2"/>
              </w:rPr>
            </w:pPr>
            <w:r>
              <w:rPr>
                <w:rFonts w:eastAsia="仿宋_GB2312"/>
                <w:color w:val="auto"/>
                <w:kern w:val="2"/>
              </w:rPr>
              <w:t>蜂胶类保健食品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5"/>
              <w:rPr>
                <w:rFonts w:eastAsia="仿宋_GB2312"/>
                <w:color w:val="auto"/>
                <w:kern w:val="2"/>
              </w:rPr>
            </w:pPr>
            <w:r>
              <w:rPr>
                <w:rFonts w:eastAsia="仿宋_GB2312"/>
                <w:color w:val="auto"/>
                <w:kern w:val="2"/>
              </w:rPr>
              <w:t>氯霉素</w:t>
            </w:r>
          </w:p>
        </w:tc>
      </w:tr>
    </w:tbl>
    <w:p>
      <w:pPr>
        <w:spacing w:beforeLines="50"/>
        <w:ind w:left="720" w:hanging="720" w:hangingChars="300"/>
        <w:rPr>
          <w:rFonts w:eastAsia="仿宋_GB2312"/>
          <w:sz w:val="24"/>
        </w:rPr>
      </w:pPr>
      <w:r>
        <w:rPr>
          <w:rFonts w:eastAsia="仿宋_GB2312"/>
          <w:sz w:val="24"/>
        </w:rPr>
        <w:t>备注：根据声称的功能（包括批准和虚假宣传）确定非法添加项目，根据产品种类、性状和标签标识等确定其他项目。</w:t>
      </w:r>
    </w:p>
    <w:p>
      <w:pPr>
        <w:widowControl/>
        <w:jc w:val="left"/>
        <w:rPr>
          <w:rFonts w:eastAsia="黑体"/>
          <w:kern w:val="0"/>
          <w:szCs w:val="21"/>
        </w:rPr>
        <w:sectPr>
          <w:pgSz w:w="11906" w:h="16838"/>
          <w:pgMar w:top="1928" w:right="1531" w:bottom="1814" w:left="1531" w:header="851" w:footer="1134" w:gutter="0"/>
          <w:cols w:space="720" w:num="1"/>
          <w:docGrid w:linePitch="312"/>
        </w:sectPr>
      </w:pPr>
    </w:p>
    <w:p>
      <w:pPr>
        <w:widowControl/>
        <w:spacing w:line="560" w:lineRule="exact"/>
        <w:jc w:val="left"/>
        <w:rPr>
          <w:rFonts w:ascii="黑体" w:hAnsi="黑体" w:eastAsia="黑体"/>
          <w:sz w:val="32"/>
          <w:szCs w:val="32"/>
        </w:rPr>
      </w:pPr>
      <w:r>
        <w:rPr>
          <w:rFonts w:ascii="黑体" w:hAnsi="黑体" w:eastAsia="黑体"/>
          <w:sz w:val="32"/>
          <w:szCs w:val="32"/>
        </w:rPr>
        <w:t>附2</w:t>
      </w:r>
    </w:p>
    <w:p>
      <w:pPr>
        <w:widowControl/>
        <w:spacing w:line="560" w:lineRule="exact"/>
        <w:jc w:val="left"/>
        <w:rPr>
          <w:rFonts w:eastAsia="黑体"/>
          <w:sz w:val="32"/>
          <w:szCs w:val="32"/>
        </w:rPr>
      </w:pPr>
    </w:p>
    <w:p>
      <w:pPr>
        <w:widowControl/>
        <w:spacing w:afterLines="50" w:line="560" w:lineRule="exact"/>
        <w:jc w:val="center"/>
        <w:rPr>
          <w:rFonts w:eastAsia="方正小标宋简体"/>
          <w:sz w:val="44"/>
          <w:szCs w:val="44"/>
        </w:rPr>
      </w:pPr>
      <w:r>
        <w:rPr>
          <w:rFonts w:eastAsia="方正小标宋简体"/>
          <w:sz w:val="44"/>
          <w:szCs w:val="44"/>
        </w:rPr>
        <w:t>食品检验项目表</w:t>
      </w:r>
    </w:p>
    <w:p>
      <w:pPr>
        <w:widowControl/>
        <w:spacing w:line="240" w:lineRule="exact"/>
        <w:jc w:val="center"/>
        <w:rPr>
          <w:rFonts w:eastAsia="方正小标宋简体"/>
          <w:sz w:val="44"/>
          <w:szCs w:val="44"/>
        </w:rPr>
      </w:pPr>
    </w:p>
    <w:tbl>
      <w:tblPr>
        <w:tblW w:w="91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0"/>
        <w:gridCol w:w="1277"/>
        <w:gridCol w:w="1267"/>
        <w:gridCol w:w="1425"/>
        <w:gridCol w:w="4658"/>
      </w:tblGrid>
      <w:tr>
        <w:trPr>
          <w:trHeight w:val="456" w:hRule="atLeast"/>
          <w:tblHeader/>
          <w:jc w:val="center"/>
        </w:trPr>
        <w:tc>
          <w:tcPr>
            <w:tcW w:w="5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jc w:val="center"/>
              <w:rPr>
                <w:rFonts w:ascii="黑体" w:hAnsi="黑体" w:eastAsia="黑体"/>
                <w:sz w:val="24"/>
              </w:rPr>
            </w:pPr>
            <w:r>
              <w:rPr>
                <w:rFonts w:ascii="黑体" w:hAnsi="黑体" w:eastAsia="黑体"/>
                <w:sz w:val="24"/>
              </w:rPr>
              <w:t>序号</w:t>
            </w:r>
          </w:p>
        </w:tc>
        <w:tc>
          <w:tcPr>
            <w:tcW w:w="127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jc w:val="center"/>
              <w:rPr>
                <w:rFonts w:ascii="黑体" w:hAnsi="黑体" w:eastAsia="黑体"/>
                <w:sz w:val="24"/>
              </w:rPr>
            </w:pPr>
            <w:r>
              <w:rPr>
                <w:rFonts w:ascii="黑体" w:hAnsi="黑体" w:eastAsia="黑体"/>
                <w:sz w:val="24"/>
              </w:rPr>
              <w:t>任务类别</w:t>
            </w:r>
          </w:p>
        </w:tc>
        <w:tc>
          <w:tcPr>
            <w:tcW w:w="12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jc w:val="center"/>
              <w:rPr>
                <w:rFonts w:ascii="黑体" w:hAnsi="黑体" w:eastAsia="黑体"/>
                <w:sz w:val="24"/>
              </w:rPr>
            </w:pPr>
            <w:r>
              <w:rPr>
                <w:rFonts w:ascii="黑体" w:hAnsi="黑体" w:eastAsia="黑体"/>
                <w:sz w:val="24"/>
              </w:rPr>
              <w:t>食品品种</w:t>
            </w:r>
          </w:p>
        </w:tc>
        <w:tc>
          <w:tcPr>
            <w:tcW w:w="14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jc w:val="center"/>
              <w:rPr>
                <w:rFonts w:ascii="黑体" w:hAnsi="黑体" w:eastAsia="黑体"/>
                <w:sz w:val="24"/>
              </w:rPr>
            </w:pPr>
            <w:r>
              <w:rPr>
                <w:rFonts w:ascii="黑体" w:hAnsi="黑体" w:eastAsia="黑体"/>
                <w:sz w:val="24"/>
              </w:rPr>
              <w:t>声称类别</w:t>
            </w:r>
          </w:p>
        </w:tc>
        <w:tc>
          <w:tcPr>
            <w:tcW w:w="465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jc w:val="center"/>
              <w:rPr>
                <w:rFonts w:ascii="黑体" w:hAnsi="黑体" w:eastAsia="黑体"/>
                <w:sz w:val="24"/>
              </w:rPr>
            </w:pPr>
            <w:r>
              <w:rPr>
                <w:rFonts w:ascii="黑体" w:hAnsi="黑体" w:eastAsia="黑体"/>
                <w:sz w:val="24"/>
              </w:rPr>
              <w:t>检验项目</w:t>
            </w:r>
          </w:p>
        </w:tc>
      </w:tr>
      <w:tr>
        <w:trPr>
          <w:trHeight w:val="3443"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1</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监督抽检</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固体冲饮品（咖啡、奶茶、茶叶等）、饼干、液体饮品</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声称减肥、辅助降血脂类样品</w:t>
            </w:r>
          </w:p>
        </w:tc>
        <w:tc>
          <w:tcPr>
            <w:tcW w:w="4658" w:type="dxa"/>
            <w:tcBorders>
              <w:top w:val="single" w:color="000000" w:sz="4" w:space="0"/>
              <w:left w:val="single" w:color="000000" w:sz="4" w:space="0"/>
              <w:bottom w:val="single" w:color="000000" w:sz="4" w:space="0"/>
              <w:right w:val="single" w:color="000000" w:sz="4" w:space="0"/>
            </w:tcBorders>
            <w:vAlign w:val="center"/>
          </w:tcPr>
          <w:p>
            <w:pPr>
              <w:rPr>
                <w:rFonts w:eastAsia="仿宋_GB2312"/>
                <w:sz w:val="24"/>
              </w:rPr>
            </w:pPr>
            <w:r>
              <w:rPr>
                <w:rFonts w:eastAsia="仿宋_GB2312"/>
                <w:sz w:val="24"/>
              </w:rPr>
              <w:t>苯丙醇胺、去甲伪麻黄碱、麻黄碱、伪麻黄碱、甲基麻黄碱、安非他明、甲基安非他明、咖啡因、分特拉明、氯卡色林、安非他酮、芬氟拉明、N,N-双去甲基西布曲明、氟西汀、酚酞、N-单去甲基西布曲明、吲达帕胺、西布曲明、苄基西布曲明、豪莫西布曲明、比沙可啶、氯代西布曲明、苯扎贝特、布美他尼、洛伐他汀、辛伐他汀、利莫那班、非诺贝特、奥利司他、氯噻嗪、氢氯噻嗪、普伐他汀、呋塞米</w:t>
            </w:r>
          </w:p>
        </w:tc>
      </w:tr>
      <w:tr>
        <w:trPr>
          <w:trHeight w:val="1962"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2</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监督抽检</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酒、牡蛎粉等食品</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声称缓解体力疲劳类、提高免疫力类样品</w:t>
            </w:r>
          </w:p>
        </w:tc>
        <w:tc>
          <w:tcPr>
            <w:tcW w:w="4658" w:type="dxa"/>
            <w:tcBorders>
              <w:top w:val="single" w:color="000000" w:sz="4" w:space="0"/>
              <w:left w:val="single" w:color="000000" w:sz="4" w:space="0"/>
              <w:bottom w:val="single" w:color="000000" w:sz="4" w:space="0"/>
              <w:right w:val="single" w:color="000000" w:sz="4" w:space="0"/>
            </w:tcBorders>
            <w:vAlign w:val="center"/>
          </w:tcPr>
          <w:p>
            <w:pPr>
              <w:rPr>
                <w:rFonts w:eastAsia="仿宋_GB2312"/>
                <w:sz w:val="24"/>
              </w:rPr>
            </w:pPr>
            <w:r>
              <w:rPr>
                <w:rFonts w:eastAsia="仿宋_GB2312"/>
                <w:sz w:val="24"/>
              </w:rPr>
              <w:t>去甲基他达拉非、硫代西地那非</w:t>
            </w:r>
          </w:p>
        </w:tc>
      </w:tr>
      <w:tr>
        <w:trPr>
          <w:trHeight w:val="1705"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3</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监督抽检</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酒、咖啡、功能饮料、玛</w:t>
            </w:r>
          </w:p>
          <w:p>
            <w:pPr>
              <w:jc w:val="center"/>
              <w:rPr>
                <w:rFonts w:eastAsia="仿宋_GB2312"/>
                <w:sz w:val="24"/>
              </w:rPr>
            </w:pPr>
            <w:r>
              <w:rPr>
                <w:rFonts w:eastAsia="仿宋_GB2312"/>
                <w:sz w:val="24"/>
              </w:rPr>
              <w:t>咖片</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声称缓解体力疲劳类、提高免疫力类样品</w:t>
            </w:r>
          </w:p>
        </w:tc>
        <w:tc>
          <w:tcPr>
            <w:tcW w:w="4658" w:type="dxa"/>
            <w:tcBorders>
              <w:top w:val="single" w:color="000000" w:sz="4" w:space="0"/>
              <w:left w:val="single" w:color="000000" w:sz="4" w:space="0"/>
              <w:bottom w:val="single" w:color="000000" w:sz="4" w:space="0"/>
              <w:right w:val="single" w:color="000000" w:sz="4" w:space="0"/>
            </w:tcBorders>
            <w:vAlign w:val="center"/>
          </w:tcPr>
          <w:p>
            <w:pPr>
              <w:rPr>
                <w:rFonts w:eastAsia="仿宋_GB2312"/>
                <w:sz w:val="24"/>
              </w:rPr>
            </w:pPr>
            <w:r>
              <w:rPr>
                <w:rFonts w:eastAsia="仿宋_GB2312"/>
                <w:sz w:val="24"/>
              </w:rPr>
              <w:t>西地那非、豪莫西地那非、羟基豪莫西地那非、那莫西地那非、硫代艾地那非、红地那非、那红地那非、伐地那非、伪伐地那非、他达拉非、氨基他达拉非</w:t>
            </w:r>
          </w:p>
        </w:tc>
      </w:tr>
      <w:tr>
        <w:trPr>
          <w:trHeight w:val="1107"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4</w:t>
            </w:r>
          </w:p>
        </w:tc>
        <w:tc>
          <w:tcPr>
            <w:tcW w:w="127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声称减肥类样品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rPr>
                <w:rFonts w:eastAsia="仿宋_GB2312"/>
                <w:sz w:val="24"/>
              </w:rPr>
            </w:pPr>
            <w:r>
              <w:rPr>
                <w:rFonts w:eastAsia="仿宋_GB2312"/>
                <w:sz w:val="24"/>
              </w:rPr>
              <w:t>西布曲明、N-单去甲基西布曲明、N,N-双去甲基西布曲明、芬氟拉明、麻黄碱、酚酞、呋塞米</w:t>
            </w:r>
          </w:p>
        </w:tc>
      </w:tr>
      <w:tr>
        <w:trPr>
          <w:trHeight w:val="1846"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5</w:t>
            </w:r>
          </w:p>
        </w:tc>
        <w:tc>
          <w:tcPr>
            <w:tcW w:w="127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声称辅助降血糖类样品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rPr>
                <w:rFonts w:eastAsia="仿宋_GB2312"/>
                <w:sz w:val="24"/>
              </w:rPr>
            </w:pPr>
            <w:r>
              <w:rPr>
                <w:rFonts w:eastAsia="仿宋_GB2312"/>
                <w:sz w:val="24"/>
              </w:rPr>
              <w:t>甲苯磺丁脲、格列本脲、格列齐特、格列吡嗪、格列喹酮、格列美脲、马来酸罗格列酮、瑞格列奈、盐酸吡格列酮、盐酸二甲双胍、盐酸苯乙双胍、盐酸丁二胍、格列波脲</w:t>
            </w:r>
          </w:p>
        </w:tc>
      </w:tr>
      <w:tr>
        <w:trPr>
          <w:trHeight w:val="2223"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6</w:t>
            </w:r>
          </w:p>
        </w:tc>
        <w:tc>
          <w:tcPr>
            <w:tcW w:w="127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声称改善睡眠类</w:t>
            </w:r>
          </w:p>
          <w:p>
            <w:pPr>
              <w:overflowPunct w:val="0"/>
              <w:topLinePunct w:val="1"/>
              <w:snapToGrid w:val="0"/>
              <w:spacing w:line="280" w:lineRule="exact"/>
              <w:jc w:val="center"/>
              <w:rPr>
                <w:rFonts w:eastAsia="仿宋_GB2312"/>
                <w:sz w:val="24"/>
              </w:rPr>
            </w:pPr>
            <w:r>
              <w:rPr>
                <w:rFonts w:eastAsia="仿宋_GB2312"/>
                <w:sz w:val="24"/>
              </w:rPr>
              <w:t>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rPr>
                <w:rFonts w:eastAsia="仿宋_GB2312"/>
                <w:sz w:val="24"/>
              </w:rPr>
            </w:pPr>
            <w:r>
              <w:rPr>
                <w:rFonts w:eastAsia="仿宋_GB2312"/>
                <w:sz w:val="24"/>
              </w:rPr>
              <w:t>氯氮卓、马来酸咪达唑仑、硝西泮、艾司唑仑、奥沙西泮、阿普唑仑、劳拉西泮、氯硝西泮、三唑仑、地西泮、巴比妥、苯巴比妥、司可巴比妥、异戊巴比妥、氯美扎酮、褪黑素、佐匹克隆、氯苯那敏、扎来普隆、文拉法辛、青藤碱、罗通定</w:t>
            </w:r>
          </w:p>
        </w:tc>
      </w:tr>
      <w:tr>
        <w:trPr>
          <w:trHeight w:val="1687"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7</w:t>
            </w:r>
          </w:p>
        </w:tc>
        <w:tc>
          <w:tcPr>
            <w:tcW w:w="127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声称缓解体力疲劳类、提高免疫力类样品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rPr>
                <w:rFonts w:eastAsia="仿宋_GB2312"/>
                <w:sz w:val="24"/>
              </w:rPr>
            </w:pPr>
            <w:r>
              <w:rPr>
                <w:rFonts w:eastAsia="仿宋_GB2312"/>
                <w:sz w:val="24"/>
              </w:rPr>
              <w:t>那红地那非、红地那非、伐地那非、羟基豪莫西地那非、西地那非、豪莫西地那非、氨基他达拉非、他达拉非、硫代艾地那非、伪伐地那非、那莫西地那非、去甲基他达拉非、硫代西地那非</w:t>
            </w:r>
          </w:p>
        </w:tc>
      </w:tr>
      <w:tr>
        <w:trPr>
          <w:trHeight w:val="1413"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8</w:t>
            </w:r>
          </w:p>
        </w:tc>
        <w:tc>
          <w:tcPr>
            <w:tcW w:w="127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声称辅助降血压类</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rPr>
                <w:rFonts w:eastAsia="仿宋_GB2312"/>
                <w:sz w:val="24"/>
              </w:rPr>
            </w:pPr>
            <w:r>
              <w:rPr>
                <w:rFonts w:eastAsia="仿宋_GB2312"/>
                <w:sz w:val="24"/>
              </w:rPr>
              <w:t>阿替洛尔、盐酸可乐定、氢氯噻嗪、卡托普利、哌唑嗪、利血平、硝苯地平、氨氯地平、尼群地平、尼莫地平、尼索地平、非洛地平</w:t>
            </w:r>
          </w:p>
        </w:tc>
      </w:tr>
      <w:tr>
        <w:trPr>
          <w:trHeight w:val="1121"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9</w:t>
            </w:r>
          </w:p>
        </w:tc>
        <w:tc>
          <w:tcPr>
            <w:tcW w:w="127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声称辅助降血脂类样品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rPr>
                <w:rFonts w:eastAsia="仿宋_GB2312"/>
                <w:sz w:val="24"/>
              </w:rPr>
            </w:pPr>
            <w:r>
              <w:rPr>
                <w:rFonts w:eastAsia="仿宋_GB2312"/>
                <w:sz w:val="24"/>
              </w:rPr>
              <w:t>洛伐他汀、辛伐他汀、烟酸、美伐他汀、去羟基洛伐他汀、洛伐他汀羟酸钠盐</w:t>
            </w:r>
          </w:p>
        </w:tc>
      </w:tr>
      <w:tr>
        <w:trPr>
          <w:trHeight w:val="197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eastAsia="仿宋_GB2312"/>
                <w:sz w:val="24"/>
              </w:rPr>
              <w:t>10</w:t>
            </w:r>
          </w:p>
        </w:tc>
        <w:tc>
          <w:tcPr>
            <w:tcW w:w="127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标识含有γ-氨基丁酸或声称缓解焦虑等功能的饮料</w:t>
            </w:r>
          </w:p>
        </w:tc>
        <w:tc>
          <w:tcPr>
            <w:tcW w:w="1425"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jc w:val="center"/>
              <w:rPr>
                <w:rFonts w:eastAsia="仿宋_GB2312"/>
                <w:sz w:val="24"/>
              </w:rPr>
            </w:pPr>
            <w:r>
              <w:rPr>
                <w:rFonts w:eastAsia="仿宋_GB2312"/>
                <w:sz w:val="24"/>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overflowPunct w:val="0"/>
              <w:topLinePunct w:val="1"/>
              <w:snapToGrid w:val="0"/>
              <w:spacing w:line="280" w:lineRule="exact"/>
              <w:rPr>
                <w:rFonts w:eastAsia="仿宋_GB2312"/>
                <w:sz w:val="24"/>
              </w:rPr>
            </w:pPr>
            <w:r>
              <w:rPr>
                <w:rFonts w:eastAsia="仿宋_GB2312"/>
                <w:sz w:val="24"/>
              </w:rPr>
              <w:t>γ-羟基丁酸、γ-丁内酯</w:t>
            </w:r>
          </w:p>
        </w:tc>
      </w:tr>
    </w:tbl>
    <w:p>
      <w:pPr>
        <w:widowControl/>
        <w:spacing w:beforeLines="50"/>
        <w:ind w:left="720" w:hanging="720" w:hangingChars="300"/>
        <w:jc w:val="left"/>
        <w:rPr>
          <w:rFonts w:eastAsia="仿宋_GB2312"/>
          <w:sz w:val="24"/>
        </w:rPr>
      </w:pPr>
      <w:r>
        <w:rPr>
          <w:rFonts w:eastAsia="仿宋_GB2312"/>
          <w:sz w:val="24"/>
        </w:rPr>
        <w:t>备注：各总局本级承检机构及省级局根据实际情况开展标识含有γ-氨基丁酸或其他声</w:t>
      </w:r>
    </w:p>
    <w:p>
      <w:pPr>
        <w:widowControl/>
        <w:spacing w:beforeLines="50"/>
        <w:ind w:left="630" w:leftChars="300" w:firstLine="41" w:firstLineChars="17"/>
        <w:jc w:val="left"/>
        <w:rPr>
          <w:rFonts w:eastAsia="仿宋_GB2312"/>
          <w:sz w:val="24"/>
        </w:rPr>
      </w:pPr>
      <w:r>
        <w:rPr>
          <w:rFonts w:eastAsia="仿宋_GB2312"/>
          <w:sz w:val="24"/>
        </w:rPr>
        <w:t>称缓解焦虑、消除疲劳类饮料的风险监测。</w:t>
      </w:r>
    </w:p>
    <w:p>
      <w:pPr>
        <w:spacing w:line="600" w:lineRule="exact"/>
        <w:ind w:right="960" w:firstLine="1920" w:firstLineChars="600"/>
        <w:jc w:val="right"/>
        <w:rPr>
          <w:rFonts w:eastAsia="仿宋_GB2312"/>
          <w:sz w:val="32"/>
          <w:szCs w:val="32"/>
        </w:rPr>
      </w:pPr>
    </w:p>
    <w:p>
      <w:pPr>
        <w:spacing w:line="600" w:lineRule="exact"/>
        <w:ind w:right="960" w:firstLine="1920" w:firstLineChars="600"/>
        <w:jc w:val="right"/>
        <w:rPr>
          <w:rFonts w:eastAsia="仿宋_GB2312"/>
          <w:sz w:val="32"/>
          <w:szCs w:val="32"/>
        </w:rPr>
      </w:pPr>
    </w:p>
    <w:p>
      <w:pPr>
        <w:rPr>
          <w:rFonts w:eastAsia="黑体"/>
          <w:sz w:val="32"/>
          <w:szCs w:val="32"/>
        </w:rPr>
        <w:sectPr>
          <w:pgSz w:w="11906" w:h="16838"/>
          <w:pgMar w:top="1928" w:right="1531" w:bottom="1814" w:left="1531" w:header="851" w:footer="992" w:gutter="0"/>
          <w:cols w:space="425" w:num="1"/>
          <w:docGrid w:linePitch="312"/>
        </w:sectPr>
      </w:pPr>
    </w:p>
    <w:p>
      <w:pPr>
        <w:rPr>
          <w:rFonts w:ascii="黑体" w:hAnsi="黑体" w:eastAsia="黑体"/>
          <w:sz w:val="32"/>
          <w:szCs w:val="32"/>
        </w:rPr>
      </w:pPr>
      <w:r>
        <w:rPr>
          <w:rFonts w:ascii="黑体" w:hAnsi="黑体" w:eastAsia="黑体"/>
          <w:sz w:val="32"/>
          <w:szCs w:val="32"/>
        </w:rPr>
        <w:t>附件2</w:t>
      </w:r>
    </w:p>
    <w:p>
      <w:pPr>
        <w:rPr>
          <w:rFonts w:ascii="黑体" w:hAnsi="黑体" w:eastAsia="黑体"/>
          <w:sz w:val="32"/>
          <w:szCs w:val="32"/>
        </w:rPr>
      </w:pPr>
    </w:p>
    <w:p>
      <w:pPr>
        <w:widowControl/>
        <w:jc w:val="center"/>
        <w:rPr>
          <w:rFonts w:eastAsia="方正小标宋简体"/>
          <w:bCs/>
          <w:color w:val="000000"/>
          <w:kern w:val="0"/>
          <w:sz w:val="44"/>
          <w:szCs w:val="44"/>
        </w:rPr>
      </w:pPr>
      <w:r>
        <w:rPr>
          <w:rFonts w:eastAsia="方正小标宋简体"/>
          <w:bCs/>
          <w:color w:val="000000"/>
          <w:kern w:val="0"/>
          <w:sz w:val="44"/>
          <w:szCs w:val="44"/>
        </w:rPr>
        <w:t>食品、保健食品欺诈和虚假宣传整治生产环节工作情况统计报表</w:t>
      </w:r>
    </w:p>
    <w:p>
      <w:pPr>
        <w:widowControl/>
        <w:snapToGrid w:val="0"/>
        <w:jc w:val="center"/>
        <w:rPr>
          <w:rFonts w:eastAsia="仿宋_GB2312"/>
          <w:bCs/>
          <w:color w:val="000000"/>
          <w:kern w:val="0"/>
          <w:sz w:val="28"/>
          <w:szCs w:val="28"/>
        </w:rPr>
      </w:pPr>
      <w:r>
        <w:rPr>
          <w:rFonts w:eastAsia="仿宋_GB2312"/>
          <w:bCs/>
          <w:color w:val="000000"/>
          <w:kern w:val="0"/>
          <w:sz w:val="28"/>
          <w:szCs w:val="28"/>
        </w:rPr>
        <w:t>（统计时间段：</w:t>
      </w:r>
      <w:r>
        <w:rPr>
          <w:rFonts w:hint="eastAsia" w:eastAsia="仿宋_GB2312"/>
          <w:bCs/>
          <w:color w:val="000000"/>
          <w:kern w:val="0"/>
          <w:sz w:val="28"/>
          <w:szCs w:val="28"/>
        </w:rPr>
        <w:t xml:space="preserve">    </w:t>
      </w:r>
      <w:r>
        <w:rPr>
          <w:rFonts w:eastAsia="仿宋_GB2312"/>
          <w:bCs/>
          <w:color w:val="000000"/>
          <w:kern w:val="0"/>
          <w:sz w:val="28"/>
          <w:szCs w:val="28"/>
        </w:rPr>
        <w:t>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    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w:t>
      </w:r>
    </w:p>
    <w:p>
      <w:pPr>
        <w:widowControl/>
        <w:snapToGrid w:val="0"/>
        <w:jc w:val="center"/>
        <w:rPr>
          <w:rFonts w:eastAsia="仿宋_GB2312"/>
          <w:bCs/>
          <w:color w:val="000000"/>
          <w:kern w:val="0"/>
          <w:sz w:val="28"/>
          <w:szCs w:val="28"/>
        </w:rPr>
      </w:pPr>
    </w:p>
    <w:p>
      <w:pPr>
        <w:ind w:firstLine="140" w:firstLineChars="50"/>
        <w:rPr>
          <w:rFonts w:eastAsia="仿宋_GB2312"/>
          <w:sz w:val="28"/>
          <w:szCs w:val="30"/>
        </w:rPr>
      </w:pPr>
      <w:r>
        <w:rPr>
          <w:rFonts w:eastAsia="仿宋_GB2312"/>
          <w:bCs/>
          <w:color w:val="000000"/>
          <w:kern w:val="0"/>
          <w:sz w:val="28"/>
          <w:szCs w:val="30"/>
        </w:rPr>
        <w:t>填报单位（公章）：</w:t>
      </w:r>
      <w:r>
        <w:rPr>
          <w:rFonts w:hint="eastAsia" w:eastAsia="仿宋_GB2312"/>
          <w:bCs/>
          <w:color w:val="000000"/>
          <w:kern w:val="0"/>
          <w:sz w:val="28"/>
          <w:szCs w:val="30"/>
        </w:rPr>
        <w:t xml:space="preserve">                  </w:t>
      </w:r>
      <w:r>
        <w:rPr>
          <w:rFonts w:eastAsia="仿宋_GB2312"/>
          <w:bCs/>
          <w:color w:val="000000"/>
          <w:kern w:val="0"/>
          <w:sz w:val="28"/>
          <w:szCs w:val="30"/>
        </w:rPr>
        <w:t>填报人：</w:t>
      </w:r>
      <w:r>
        <w:rPr>
          <w:rFonts w:hint="eastAsia" w:eastAsia="仿宋_GB2312"/>
          <w:bCs/>
          <w:color w:val="000000"/>
          <w:kern w:val="0"/>
          <w:sz w:val="28"/>
          <w:szCs w:val="30"/>
        </w:rPr>
        <w:t xml:space="preserve">        </w:t>
      </w:r>
      <w:r>
        <w:rPr>
          <w:rFonts w:eastAsia="仿宋_GB2312"/>
          <w:bCs/>
          <w:color w:val="000000"/>
          <w:kern w:val="0"/>
          <w:sz w:val="28"/>
          <w:szCs w:val="30"/>
        </w:rPr>
        <w:t>联系方式：</w:t>
      </w:r>
      <w:r>
        <w:rPr>
          <w:rFonts w:hint="eastAsia" w:eastAsia="仿宋_GB2312"/>
          <w:bCs/>
          <w:color w:val="000000"/>
          <w:kern w:val="0"/>
          <w:sz w:val="28"/>
          <w:szCs w:val="30"/>
        </w:rPr>
        <w:t xml:space="preserve">        </w:t>
      </w:r>
      <w:r>
        <w:rPr>
          <w:rFonts w:eastAsia="仿宋_GB2312"/>
          <w:bCs/>
          <w:color w:val="000000"/>
          <w:kern w:val="0"/>
          <w:sz w:val="28"/>
          <w:szCs w:val="30"/>
        </w:rPr>
        <w:t>报送日期：</w:t>
      </w:r>
      <w:r>
        <w:rPr>
          <w:rFonts w:hint="eastAsia" w:eastAsia="仿宋_GB2312"/>
          <w:bCs/>
          <w:color w:val="000000"/>
          <w:kern w:val="0"/>
          <w:sz w:val="28"/>
          <w:szCs w:val="30"/>
        </w:rPr>
        <w:t xml:space="preserve">    </w:t>
      </w:r>
      <w:r>
        <w:rPr>
          <w:rFonts w:eastAsia="仿宋_GB2312"/>
          <w:bCs/>
          <w:color w:val="000000"/>
          <w:kern w:val="0"/>
          <w:sz w:val="28"/>
          <w:szCs w:val="30"/>
        </w:rPr>
        <w:t>年</w:t>
      </w:r>
      <w:r>
        <w:rPr>
          <w:rFonts w:hint="eastAsia" w:eastAsia="仿宋_GB2312"/>
          <w:bCs/>
          <w:color w:val="000000"/>
          <w:kern w:val="0"/>
          <w:sz w:val="28"/>
          <w:szCs w:val="30"/>
        </w:rPr>
        <w:t xml:space="preserve">  </w:t>
      </w:r>
      <w:r>
        <w:rPr>
          <w:rFonts w:eastAsia="仿宋_GB2312"/>
          <w:bCs/>
          <w:color w:val="000000"/>
          <w:kern w:val="0"/>
          <w:sz w:val="28"/>
          <w:szCs w:val="30"/>
        </w:rPr>
        <w:t>月</w:t>
      </w:r>
      <w:r>
        <w:rPr>
          <w:rFonts w:hint="eastAsia" w:eastAsia="仿宋_GB2312"/>
          <w:bCs/>
          <w:color w:val="000000"/>
          <w:kern w:val="0"/>
          <w:sz w:val="28"/>
          <w:szCs w:val="30"/>
        </w:rPr>
        <w:t xml:space="preserve">  </w:t>
      </w:r>
      <w:r>
        <w:rPr>
          <w:rFonts w:eastAsia="仿宋_GB2312"/>
          <w:bCs/>
          <w:color w:val="000000"/>
          <w:kern w:val="0"/>
          <w:sz w:val="28"/>
          <w:szCs w:val="30"/>
        </w:rPr>
        <w:t>日</w:t>
      </w:r>
    </w:p>
    <w:tbl>
      <w:tblPr>
        <w:tblW w:w="13776" w:type="dxa"/>
        <w:jc w:val="center"/>
        <w:tblInd w:w="-5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302"/>
        <w:gridCol w:w="3909"/>
        <w:gridCol w:w="2804"/>
        <w:gridCol w:w="2835"/>
        <w:gridCol w:w="2926"/>
      </w:tblGrid>
      <w:tr>
        <w:trPr>
          <w:trHeight w:val="454" w:hRule="exact"/>
          <w:jc w:val="center"/>
        </w:trPr>
        <w:tc>
          <w:tcPr>
            <w:tcW w:w="521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color w:val="000000"/>
                <w:kern w:val="0"/>
                <w:sz w:val="24"/>
              </w:rPr>
            </w:pPr>
            <w:r>
              <w:rPr>
                <w:rFonts w:eastAsia="黑体"/>
                <w:color w:val="000000"/>
                <w:kern w:val="0"/>
                <w:sz w:val="24"/>
              </w:rPr>
              <w:t>类别</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color w:val="000000"/>
                <w:kern w:val="0"/>
                <w:sz w:val="24"/>
              </w:rPr>
            </w:pPr>
            <w:r>
              <w:rPr>
                <w:rFonts w:eastAsia="黑体"/>
                <w:color w:val="000000"/>
                <w:kern w:val="0"/>
                <w:sz w:val="24"/>
              </w:rPr>
              <w:t>食品</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color w:val="000000"/>
                <w:kern w:val="0"/>
                <w:sz w:val="24"/>
              </w:rPr>
            </w:pPr>
            <w:r>
              <w:rPr>
                <w:rFonts w:eastAsia="黑体"/>
                <w:color w:val="000000"/>
                <w:kern w:val="0"/>
                <w:sz w:val="24"/>
              </w:rPr>
              <w:t>保健食品</w:t>
            </w:r>
          </w:p>
        </w:tc>
        <w:tc>
          <w:tcPr>
            <w:tcW w:w="29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color w:val="000000"/>
                <w:kern w:val="0"/>
                <w:sz w:val="24"/>
              </w:rPr>
            </w:pPr>
            <w:r>
              <w:rPr>
                <w:rFonts w:eastAsia="黑体"/>
                <w:color w:val="000000"/>
                <w:kern w:val="0"/>
                <w:sz w:val="24"/>
              </w:rPr>
              <w:t>总计</w:t>
            </w:r>
          </w:p>
        </w:tc>
      </w:tr>
      <w:tr>
        <w:trPr>
          <w:trHeight w:val="454" w:hRule="exac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黑体"/>
                <w:color w:val="000000"/>
                <w:kern w:val="0"/>
                <w:sz w:val="24"/>
              </w:rPr>
            </w:pPr>
            <w:r>
              <w:rPr>
                <w:rFonts w:eastAsia="黑体"/>
                <w:color w:val="000000"/>
                <w:kern w:val="0"/>
                <w:sz w:val="24"/>
              </w:rPr>
              <w:t>检查情况</w:t>
            </w: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kern w:val="0"/>
                <w:sz w:val="24"/>
              </w:rPr>
              <w:t>检查企业数（家）</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黑体"/>
                <w:color w:val="000000"/>
                <w:kern w:val="0"/>
                <w:sz w:val="24"/>
              </w:rPr>
            </w:pP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kern w:val="0"/>
                <w:sz w:val="24"/>
              </w:rPr>
              <w:t>发现问题企业数（家）</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黑体"/>
                <w:color w:val="000000"/>
                <w:kern w:val="0"/>
                <w:sz w:val="24"/>
              </w:rPr>
            </w:pP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kern w:val="0"/>
                <w:sz w:val="24"/>
              </w:rPr>
              <w:t>发现问题产品数（批次）</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黑体"/>
                <w:color w:val="000000"/>
                <w:kern w:val="0"/>
                <w:sz w:val="24"/>
              </w:rPr>
            </w:pP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kern w:val="0"/>
                <w:sz w:val="24"/>
              </w:rPr>
              <w:t>检查发现问题（条）</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黑体"/>
                <w:color w:val="000000"/>
                <w:kern w:val="0"/>
                <w:sz w:val="24"/>
              </w:rPr>
            </w:pPr>
            <w:r>
              <w:rPr>
                <w:rFonts w:eastAsia="黑体"/>
                <w:color w:val="000000"/>
                <w:kern w:val="0"/>
                <w:sz w:val="24"/>
              </w:rPr>
              <w:t>处置情况</w:t>
            </w: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kern w:val="0"/>
                <w:sz w:val="24"/>
              </w:rPr>
              <w:t>责令整改（家）</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sz w:val="22"/>
              </w:rPr>
              <w:t>已完成整改企业（家）</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kern w:val="0"/>
                <w:sz w:val="24"/>
              </w:rPr>
              <w:t>召回产品数（批次）</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kern w:val="0"/>
                <w:sz w:val="24"/>
              </w:rPr>
              <w:t>责令停产（家）</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sz w:val="22"/>
              </w:rPr>
              <w:t>吊销生产（经营）许可证（家）</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sz w:val="22"/>
              </w:rPr>
            </w:pP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rPr>
            </w:pPr>
            <w:r>
              <w:rPr>
                <w:rFonts w:eastAsia="仿宋_GB2312"/>
                <w:color w:val="000000"/>
                <w:sz w:val="22"/>
              </w:rPr>
              <w:t>立案查处案件数（起）</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r>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sz w:val="22"/>
              </w:rPr>
            </w:pPr>
          </w:p>
        </w:tc>
        <w:tc>
          <w:tcPr>
            <w:tcW w:w="39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 w:val="24"/>
                <w:highlight w:val="yellow"/>
              </w:rPr>
            </w:pPr>
            <w:r>
              <w:rPr>
                <w:rFonts w:eastAsia="仿宋_GB2312"/>
                <w:color w:val="000000"/>
                <w:kern w:val="0"/>
                <w:sz w:val="24"/>
              </w:rPr>
              <w:t>涉案货值金额（万元）</w:t>
            </w:r>
          </w:p>
        </w:tc>
        <w:tc>
          <w:tcPr>
            <w:tcW w:w="2804"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835"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c>
          <w:tcPr>
            <w:tcW w:w="2926"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color w:val="000000"/>
                <w:kern w:val="0"/>
                <w:sz w:val="24"/>
              </w:rPr>
            </w:pPr>
          </w:p>
        </w:tc>
      </w:tr>
    </w:tbl>
    <w:p>
      <w:pPr>
        <w:rPr>
          <w:rFonts w:ascii="黑体" w:hAnsi="黑体" w:eastAsia="黑体"/>
          <w:sz w:val="32"/>
          <w:szCs w:val="32"/>
        </w:rPr>
      </w:pPr>
      <w:r>
        <w:rPr>
          <w:rFonts w:ascii="黑体" w:hAnsi="黑体" w:eastAsia="黑体"/>
          <w:sz w:val="32"/>
          <w:szCs w:val="32"/>
        </w:rPr>
        <w:t>附件3</w:t>
      </w:r>
    </w:p>
    <w:p>
      <w:pPr>
        <w:rPr>
          <w:rFonts w:ascii="黑体" w:hAnsi="黑体" w:eastAsia="黑体"/>
          <w:sz w:val="32"/>
          <w:szCs w:val="32"/>
        </w:rPr>
      </w:pPr>
    </w:p>
    <w:p>
      <w:pPr>
        <w:jc w:val="center"/>
        <w:rPr>
          <w:rFonts w:eastAsia="黑体"/>
          <w:sz w:val="32"/>
          <w:szCs w:val="32"/>
        </w:rPr>
      </w:pPr>
      <w:r>
        <w:rPr>
          <w:rFonts w:eastAsia="方正小标宋简体"/>
          <w:bCs/>
          <w:color w:val="000000"/>
          <w:kern w:val="0"/>
          <w:sz w:val="44"/>
          <w:szCs w:val="44"/>
        </w:rPr>
        <w:t>食品、保健食品欺诈和虚假宣传整治生产环节工作检查整改情况台账</w:t>
      </w:r>
    </w:p>
    <w:p>
      <w:pPr>
        <w:widowControl/>
        <w:snapToGrid w:val="0"/>
        <w:jc w:val="center"/>
        <w:rPr>
          <w:rFonts w:eastAsia="仿宋_GB2312"/>
          <w:bCs/>
          <w:color w:val="000000"/>
          <w:kern w:val="0"/>
          <w:sz w:val="28"/>
          <w:szCs w:val="28"/>
        </w:rPr>
      </w:pPr>
      <w:r>
        <w:rPr>
          <w:rFonts w:eastAsia="仿宋_GB2312"/>
          <w:bCs/>
          <w:color w:val="000000"/>
          <w:kern w:val="0"/>
          <w:sz w:val="28"/>
          <w:szCs w:val="28"/>
        </w:rPr>
        <w:t>（统计时间段：</w:t>
      </w:r>
      <w:r>
        <w:rPr>
          <w:rFonts w:hint="eastAsia" w:eastAsia="仿宋_GB2312"/>
          <w:bCs/>
          <w:color w:val="000000"/>
          <w:kern w:val="0"/>
          <w:sz w:val="28"/>
          <w:szCs w:val="28"/>
        </w:rPr>
        <w:t xml:space="preserve">    </w:t>
      </w:r>
      <w:r>
        <w:rPr>
          <w:rFonts w:eastAsia="仿宋_GB2312"/>
          <w:bCs/>
          <w:color w:val="000000"/>
          <w:kern w:val="0"/>
          <w:sz w:val="28"/>
          <w:szCs w:val="28"/>
        </w:rPr>
        <w:t>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    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w:t>
      </w:r>
    </w:p>
    <w:p>
      <w:pPr>
        <w:widowControl/>
        <w:snapToGrid w:val="0"/>
        <w:jc w:val="center"/>
        <w:rPr>
          <w:rFonts w:eastAsia="仿宋_GB2312"/>
          <w:bCs/>
          <w:color w:val="000000"/>
          <w:kern w:val="0"/>
          <w:sz w:val="28"/>
          <w:szCs w:val="28"/>
        </w:rPr>
      </w:pPr>
    </w:p>
    <w:p>
      <w:pPr>
        <w:rPr>
          <w:rFonts w:eastAsia="仿宋_GB2312"/>
          <w:sz w:val="28"/>
          <w:szCs w:val="30"/>
        </w:rPr>
      </w:pPr>
      <w:r>
        <w:rPr>
          <w:rFonts w:eastAsia="仿宋_GB2312"/>
          <w:bCs/>
          <w:color w:val="000000"/>
          <w:kern w:val="0"/>
          <w:sz w:val="28"/>
          <w:szCs w:val="30"/>
        </w:rPr>
        <w:t>填报单位（公章）：</w:t>
      </w:r>
      <w:r>
        <w:rPr>
          <w:rFonts w:hint="eastAsia" w:eastAsia="仿宋_GB2312"/>
          <w:bCs/>
          <w:color w:val="000000"/>
          <w:kern w:val="0"/>
          <w:sz w:val="28"/>
          <w:szCs w:val="30"/>
        </w:rPr>
        <w:t xml:space="preserve">                        </w:t>
      </w:r>
      <w:r>
        <w:rPr>
          <w:rFonts w:eastAsia="仿宋_GB2312"/>
          <w:bCs/>
          <w:color w:val="000000"/>
          <w:kern w:val="0"/>
          <w:sz w:val="28"/>
          <w:szCs w:val="30"/>
        </w:rPr>
        <w:t>填报人：</w:t>
      </w:r>
      <w:r>
        <w:rPr>
          <w:rFonts w:hint="eastAsia" w:eastAsia="仿宋_GB2312"/>
          <w:bCs/>
          <w:color w:val="000000"/>
          <w:kern w:val="0"/>
          <w:sz w:val="28"/>
          <w:szCs w:val="30"/>
        </w:rPr>
        <w:t xml:space="preserve">        </w:t>
      </w:r>
      <w:r>
        <w:rPr>
          <w:rFonts w:eastAsia="仿宋_GB2312"/>
          <w:bCs/>
          <w:color w:val="000000"/>
          <w:kern w:val="0"/>
          <w:sz w:val="28"/>
          <w:szCs w:val="30"/>
        </w:rPr>
        <w:t>联系方式：</w:t>
      </w:r>
      <w:r>
        <w:rPr>
          <w:rFonts w:hint="eastAsia" w:eastAsia="仿宋_GB2312"/>
          <w:bCs/>
          <w:color w:val="000000"/>
          <w:kern w:val="0"/>
          <w:sz w:val="28"/>
          <w:szCs w:val="30"/>
        </w:rPr>
        <w:t xml:space="preserve">       </w:t>
      </w:r>
      <w:r>
        <w:rPr>
          <w:rFonts w:eastAsia="仿宋_GB2312"/>
          <w:bCs/>
          <w:color w:val="000000"/>
          <w:kern w:val="0"/>
          <w:sz w:val="28"/>
          <w:szCs w:val="30"/>
        </w:rPr>
        <w:t>报送日期：</w:t>
      </w:r>
      <w:r>
        <w:rPr>
          <w:rFonts w:hint="eastAsia" w:eastAsia="仿宋_GB2312"/>
          <w:bCs/>
          <w:color w:val="000000"/>
          <w:kern w:val="0"/>
          <w:sz w:val="28"/>
          <w:szCs w:val="30"/>
        </w:rPr>
        <w:t xml:space="preserve">    </w:t>
      </w:r>
      <w:r>
        <w:rPr>
          <w:rFonts w:eastAsia="仿宋_GB2312"/>
          <w:bCs/>
          <w:color w:val="000000"/>
          <w:kern w:val="0"/>
          <w:sz w:val="28"/>
          <w:szCs w:val="30"/>
        </w:rPr>
        <w:t>年</w:t>
      </w:r>
      <w:r>
        <w:rPr>
          <w:rFonts w:hint="eastAsia" w:eastAsia="仿宋_GB2312"/>
          <w:bCs/>
          <w:color w:val="000000"/>
          <w:kern w:val="0"/>
          <w:sz w:val="28"/>
          <w:szCs w:val="30"/>
        </w:rPr>
        <w:t xml:space="preserve">  </w:t>
      </w:r>
      <w:r>
        <w:rPr>
          <w:rFonts w:eastAsia="仿宋_GB2312"/>
          <w:bCs/>
          <w:color w:val="000000"/>
          <w:kern w:val="0"/>
          <w:sz w:val="28"/>
          <w:szCs w:val="30"/>
        </w:rPr>
        <w:t>月</w:t>
      </w:r>
      <w:r>
        <w:rPr>
          <w:rFonts w:hint="eastAsia" w:eastAsia="仿宋_GB2312"/>
          <w:bCs/>
          <w:color w:val="000000"/>
          <w:kern w:val="0"/>
          <w:sz w:val="28"/>
          <w:szCs w:val="30"/>
        </w:rPr>
        <w:t xml:space="preserve">  </w:t>
      </w:r>
      <w:r>
        <w:rPr>
          <w:rFonts w:eastAsia="仿宋_GB2312"/>
          <w:bCs/>
          <w:color w:val="000000"/>
          <w:kern w:val="0"/>
          <w:sz w:val="28"/>
          <w:szCs w:val="30"/>
        </w:rPr>
        <w:t>日</w:t>
      </w:r>
    </w:p>
    <w:tbl>
      <w:tblPr>
        <w:tblW w:w="14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4"/>
        <w:gridCol w:w="2917"/>
        <w:gridCol w:w="1431"/>
        <w:gridCol w:w="1981"/>
        <w:gridCol w:w="2521"/>
        <w:gridCol w:w="1398"/>
        <w:gridCol w:w="3118"/>
      </w:tblGrid>
      <w:tr>
        <w:trPr>
          <w:trHeight w:val="76" w:hRule="atLeast"/>
          <w:jc w:val="center"/>
        </w:trPr>
        <w:tc>
          <w:tcPr>
            <w:tcW w:w="874" w:type="dxa"/>
            <w:vAlign w:val="center"/>
          </w:tcPr>
          <w:p>
            <w:pPr>
              <w:jc w:val="center"/>
              <w:rPr>
                <w:rFonts w:eastAsia="黑体"/>
                <w:sz w:val="24"/>
              </w:rPr>
            </w:pPr>
            <w:r>
              <w:rPr>
                <w:rFonts w:eastAsia="黑体"/>
                <w:sz w:val="24"/>
              </w:rPr>
              <w:t>序号</w:t>
            </w:r>
          </w:p>
        </w:tc>
        <w:tc>
          <w:tcPr>
            <w:tcW w:w="2917" w:type="dxa"/>
            <w:vAlign w:val="center"/>
          </w:tcPr>
          <w:p>
            <w:pPr>
              <w:jc w:val="center"/>
              <w:rPr>
                <w:rFonts w:eastAsia="黑体"/>
                <w:sz w:val="24"/>
              </w:rPr>
            </w:pPr>
            <w:r>
              <w:rPr>
                <w:rFonts w:eastAsia="黑体"/>
                <w:sz w:val="24"/>
              </w:rPr>
              <w:t>企业名称</w:t>
            </w:r>
          </w:p>
        </w:tc>
        <w:tc>
          <w:tcPr>
            <w:tcW w:w="1431" w:type="dxa"/>
            <w:vAlign w:val="center"/>
          </w:tcPr>
          <w:p>
            <w:pPr>
              <w:jc w:val="center"/>
              <w:rPr>
                <w:rFonts w:eastAsia="黑体"/>
                <w:sz w:val="24"/>
              </w:rPr>
            </w:pPr>
            <w:r>
              <w:rPr>
                <w:rFonts w:eastAsia="黑体"/>
                <w:sz w:val="24"/>
              </w:rPr>
              <w:t>企业类型</w:t>
            </w:r>
          </w:p>
        </w:tc>
        <w:tc>
          <w:tcPr>
            <w:tcW w:w="1981" w:type="dxa"/>
            <w:vAlign w:val="center"/>
          </w:tcPr>
          <w:p>
            <w:pPr>
              <w:jc w:val="center"/>
              <w:rPr>
                <w:rFonts w:eastAsia="黑体"/>
                <w:sz w:val="24"/>
              </w:rPr>
            </w:pPr>
            <w:r>
              <w:rPr>
                <w:rFonts w:eastAsia="黑体"/>
                <w:sz w:val="24"/>
              </w:rPr>
              <w:t>产品名称</w:t>
            </w:r>
          </w:p>
        </w:tc>
        <w:tc>
          <w:tcPr>
            <w:tcW w:w="2521" w:type="dxa"/>
            <w:vAlign w:val="center"/>
          </w:tcPr>
          <w:p>
            <w:pPr>
              <w:jc w:val="center"/>
              <w:rPr>
                <w:rFonts w:eastAsia="黑体"/>
                <w:sz w:val="24"/>
              </w:rPr>
            </w:pPr>
            <w:r>
              <w:rPr>
                <w:rFonts w:eastAsia="黑体"/>
                <w:sz w:val="24"/>
              </w:rPr>
              <w:t>检查发现的</w:t>
            </w:r>
          </w:p>
          <w:p>
            <w:pPr>
              <w:jc w:val="center"/>
              <w:rPr>
                <w:rFonts w:eastAsia="黑体"/>
                <w:sz w:val="24"/>
              </w:rPr>
            </w:pPr>
            <w:r>
              <w:rPr>
                <w:rFonts w:eastAsia="黑体"/>
                <w:sz w:val="24"/>
              </w:rPr>
              <w:t>问题</w:t>
            </w:r>
          </w:p>
        </w:tc>
        <w:tc>
          <w:tcPr>
            <w:tcW w:w="1398" w:type="dxa"/>
            <w:vAlign w:val="center"/>
          </w:tcPr>
          <w:p>
            <w:pPr>
              <w:jc w:val="center"/>
              <w:rPr>
                <w:rFonts w:eastAsia="黑体"/>
                <w:sz w:val="24"/>
              </w:rPr>
            </w:pPr>
            <w:r>
              <w:rPr>
                <w:rFonts w:eastAsia="黑体"/>
                <w:sz w:val="24"/>
              </w:rPr>
              <w:t>问题类型</w:t>
            </w:r>
          </w:p>
        </w:tc>
        <w:tc>
          <w:tcPr>
            <w:tcW w:w="3118" w:type="dxa"/>
            <w:vAlign w:val="center"/>
          </w:tcPr>
          <w:p>
            <w:pPr>
              <w:jc w:val="center"/>
              <w:rPr>
                <w:rFonts w:eastAsia="黑体"/>
                <w:sz w:val="24"/>
                <w:highlight w:val="yellow"/>
              </w:rPr>
            </w:pPr>
            <w:r>
              <w:rPr>
                <w:rFonts w:eastAsia="黑体"/>
                <w:sz w:val="24"/>
              </w:rPr>
              <w:t>处置情况</w:t>
            </w:r>
          </w:p>
        </w:tc>
      </w:tr>
      <w:tr>
        <w:trPr>
          <w:trHeight w:val="454" w:hRule="exact"/>
          <w:jc w:val="center"/>
        </w:trPr>
        <w:tc>
          <w:tcPr>
            <w:tcW w:w="874" w:type="dxa"/>
            <w:vMerge w:val="restart"/>
            <w:vAlign w:val="center"/>
          </w:tcPr>
          <w:p>
            <w:pPr>
              <w:jc w:val="center"/>
              <w:rPr>
                <w:rFonts w:eastAsia="黑体"/>
                <w:sz w:val="24"/>
              </w:rPr>
            </w:pPr>
            <w:r>
              <w:rPr>
                <w:rFonts w:eastAsia="黑体"/>
                <w:sz w:val="24"/>
              </w:rPr>
              <w:t>1</w:t>
            </w:r>
          </w:p>
        </w:tc>
        <w:tc>
          <w:tcPr>
            <w:tcW w:w="2917" w:type="dxa"/>
            <w:vMerge w:val="restart"/>
            <w:vAlign w:val="center"/>
          </w:tcPr>
          <w:p>
            <w:pPr>
              <w:jc w:val="center"/>
              <w:rPr>
                <w:rFonts w:eastAsia="仿宋_GB2312"/>
                <w:sz w:val="24"/>
              </w:rPr>
            </w:pPr>
          </w:p>
        </w:tc>
        <w:tc>
          <w:tcPr>
            <w:tcW w:w="1431" w:type="dxa"/>
            <w:vMerge w:val="restart"/>
            <w:vAlign w:val="top"/>
          </w:tcPr>
          <w:p>
            <w:pPr>
              <w:jc w:val="center"/>
              <w:rPr>
                <w:rFonts w:eastAsia="仿宋_GB2312"/>
                <w:sz w:val="24"/>
              </w:rPr>
            </w:pPr>
          </w:p>
        </w:tc>
        <w:tc>
          <w:tcPr>
            <w:tcW w:w="1981" w:type="dxa"/>
            <w:vAlign w:val="center"/>
          </w:tcPr>
          <w:p>
            <w:pPr>
              <w:jc w:val="center"/>
              <w:rPr>
                <w:rFonts w:eastAsia="仿宋_GB2312"/>
                <w:sz w:val="24"/>
              </w:rPr>
            </w:pPr>
          </w:p>
        </w:tc>
        <w:tc>
          <w:tcPr>
            <w:tcW w:w="2521" w:type="dxa"/>
            <w:vAlign w:val="center"/>
          </w:tcPr>
          <w:p>
            <w:pPr>
              <w:jc w:val="center"/>
              <w:rPr>
                <w:rFonts w:eastAsia="仿宋_GB2312"/>
                <w:sz w:val="24"/>
              </w:rPr>
            </w:pPr>
          </w:p>
        </w:tc>
        <w:tc>
          <w:tcPr>
            <w:tcW w:w="1398" w:type="dxa"/>
            <w:vAlign w:val="top"/>
          </w:tcPr>
          <w:p>
            <w:pPr>
              <w:jc w:val="center"/>
              <w:rPr>
                <w:rFonts w:eastAsia="仿宋_GB2312"/>
                <w:sz w:val="24"/>
              </w:rPr>
            </w:pPr>
          </w:p>
        </w:tc>
        <w:tc>
          <w:tcPr>
            <w:tcW w:w="3118" w:type="dxa"/>
            <w:vAlign w:val="center"/>
          </w:tcPr>
          <w:p>
            <w:pPr>
              <w:jc w:val="center"/>
              <w:rPr>
                <w:rFonts w:eastAsia="仿宋_GB2312"/>
                <w:sz w:val="24"/>
              </w:rPr>
            </w:pPr>
          </w:p>
        </w:tc>
      </w:tr>
      <w:tr>
        <w:trPr>
          <w:trHeight w:val="454" w:hRule="exact"/>
          <w:jc w:val="center"/>
        </w:trPr>
        <w:tc>
          <w:tcPr>
            <w:tcW w:w="874" w:type="dxa"/>
            <w:vMerge w:val="continue"/>
            <w:vAlign w:val="center"/>
          </w:tcPr>
          <w:p>
            <w:pPr>
              <w:jc w:val="center"/>
              <w:rPr>
                <w:rFonts w:eastAsia="黑体"/>
                <w:sz w:val="24"/>
              </w:rPr>
            </w:pPr>
          </w:p>
        </w:tc>
        <w:tc>
          <w:tcPr>
            <w:tcW w:w="2917" w:type="dxa"/>
            <w:vMerge w:val="continue"/>
            <w:vAlign w:val="center"/>
          </w:tcPr>
          <w:p>
            <w:pPr>
              <w:jc w:val="center"/>
              <w:rPr>
                <w:rFonts w:eastAsia="仿宋_GB2312"/>
                <w:sz w:val="24"/>
              </w:rPr>
            </w:pPr>
          </w:p>
        </w:tc>
        <w:tc>
          <w:tcPr>
            <w:tcW w:w="1431" w:type="dxa"/>
            <w:vMerge w:val="continue"/>
            <w:vAlign w:val="top"/>
          </w:tcPr>
          <w:p>
            <w:pPr>
              <w:jc w:val="center"/>
              <w:rPr>
                <w:rFonts w:eastAsia="仿宋_GB2312"/>
                <w:sz w:val="24"/>
              </w:rPr>
            </w:pPr>
          </w:p>
        </w:tc>
        <w:tc>
          <w:tcPr>
            <w:tcW w:w="1981" w:type="dxa"/>
            <w:vAlign w:val="center"/>
          </w:tcPr>
          <w:p>
            <w:pPr>
              <w:jc w:val="center"/>
              <w:rPr>
                <w:rFonts w:eastAsia="仿宋_GB2312"/>
                <w:sz w:val="24"/>
              </w:rPr>
            </w:pPr>
          </w:p>
        </w:tc>
        <w:tc>
          <w:tcPr>
            <w:tcW w:w="2521" w:type="dxa"/>
            <w:vAlign w:val="center"/>
          </w:tcPr>
          <w:p>
            <w:pPr>
              <w:jc w:val="center"/>
              <w:rPr>
                <w:rFonts w:eastAsia="仿宋_GB2312"/>
                <w:sz w:val="24"/>
              </w:rPr>
            </w:pPr>
          </w:p>
        </w:tc>
        <w:tc>
          <w:tcPr>
            <w:tcW w:w="1398" w:type="dxa"/>
            <w:vAlign w:val="top"/>
          </w:tcPr>
          <w:p>
            <w:pPr>
              <w:jc w:val="center"/>
              <w:rPr>
                <w:rFonts w:eastAsia="仿宋_GB2312"/>
                <w:sz w:val="24"/>
              </w:rPr>
            </w:pPr>
          </w:p>
        </w:tc>
        <w:tc>
          <w:tcPr>
            <w:tcW w:w="3118" w:type="dxa"/>
            <w:vAlign w:val="center"/>
          </w:tcPr>
          <w:p>
            <w:pPr>
              <w:jc w:val="center"/>
              <w:rPr>
                <w:rFonts w:eastAsia="仿宋_GB2312"/>
                <w:sz w:val="24"/>
              </w:rPr>
            </w:pPr>
          </w:p>
        </w:tc>
      </w:tr>
      <w:tr>
        <w:trPr>
          <w:trHeight w:val="454" w:hRule="exact"/>
          <w:jc w:val="center"/>
        </w:trPr>
        <w:tc>
          <w:tcPr>
            <w:tcW w:w="874" w:type="dxa"/>
            <w:vMerge w:val="continue"/>
            <w:vAlign w:val="center"/>
          </w:tcPr>
          <w:p>
            <w:pPr>
              <w:jc w:val="center"/>
              <w:rPr>
                <w:rFonts w:eastAsia="黑体"/>
                <w:sz w:val="24"/>
              </w:rPr>
            </w:pPr>
          </w:p>
        </w:tc>
        <w:tc>
          <w:tcPr>
            <w:tcW w:w="2917" w:type="dxa"/>
            <w:vMerge w:val="continue"/>
            <w:vAlign w:val="center"/>
          </w:tcPr>
          <w:p>
            <w:pPr>
              <w:jc w:val="center"/>
              <w:rPr>
                <w:rFonts w:eastAsia="仿宋_GB2312"/>
                <w:sz w:val="24"/>
              </w:rPr>
            </w:pPr>
          </w:p>
        </w:tc>
        <w:tc>
          <w:tcPr>
            <w:tcW w:w="1431" w:type="dxa"/>
            <w:vMerge w:val="continue"/>
            <w:vAlign w:val="top"/>
          </w:tcPr>
          <w:p>
            <w:pPr>
              <w:jc w:val="center"/>
              <w:rPr>
                <w:rFonts w:eastAsia="仿宋_GB2312"/>
                <w:sz w:val="24"/>
              </w:rPr>
            </w:pPr>
          </w:p>
        </w:tc>
        <w:tc>
          <w:tcPr>
            <w:tcW w:w="1981" w:type="dxa"/>
            <w:vAlign w:val="center"/>
          </w:tcPr>
          <w:p>
            <w:pPr>
              <w:jc w:val="center"/>
              <w:rPr>
                <w:rFonts w:eastAsia="仿宋_GB2312"/>
                <w:sz w:val="24"/>
              </w:rPr>
            </w:pPr>
            <w:r>
              <w:rPr>
                <w:rFonts w:eastAsia="仿宋_GB2312"/>
                <w:sz w:val="24"/>
              </w:rPr>
              <w:t>……</w:t>
            </w:r>
          </w:p>
        </w:tc>
        <w:tc>
          <w:tcPr>
            <w:tcW w:w="2521" w:type="dxa"/>
            <w:vAlign w:val="center"/>
          </w:tcPr>
          <w:p>
            <w:pPr>
              <w:jc w:val="center"/>
              <w:rPr>
                <w:rFonts w:eastAsia="仿宋_GB2312"/>
                <w:sz w:val="24"/>
              </w:rPr>
            </w:pPr>
            <w:r>
              <w:rPr>
                <w:rFonts w:eastAsia="仿宋_GB2312"/>
                <w:sz w:val="24"/>
              </w:rPr>
              <w:t>……</w:t>
            </w:r>
          </w:p>
        </w:tc>
        <w:tc>
          <w:tcPr>
            <w:tcW w:w="1398" w:type="dxa"/>
            <w:vAlign w:val="top"/>
          </w:tcPr>
          <w:p>
            <w:pPr>
              <w:jc w:val="center"/>
              <w:rPr>
                <w:rFonts w:eastAsia="仿宋_GB2312"/>
                <w:sz w:val="24"/>
              </w:rPr>
            </w:pPr>
            <w:r>
              <w:rPr>
                <w:rFonts w:eastAsia="仿宋_GB2312"/>
                <w:sz w:val="24"/>
              </w:rPr>
              <w:t>……</w:t>
            </w:r>
          </w:p>
        </w:tc>
        <w:tc>
          <w:tcPr>
            <w:tcW w:w="3118" w:type="dxa"/>
            <w:vAlign w:val="center"/>
          </w:tcPr>
          <w:p>
            <w:pPr>
              <w:jc w:val="center"/>
              <w:rPr>
                <w:rFonts w:eastAsia="仿宋_GB2312"/>
                <w:sz w:val="24"/>
              </w:rPr>
            </w:pPr>
            <w:r>
              <w:rPr>
                <w:rFonts w:eastAsia="仿宋_GB2312"/>
                <w:sz w:val="24"/>
              </w:rPr>
              <w:t>……</w:t>
            </w:r>
          </w:p>
        </w:tc>
      </w:tr>
      <w:tr>
        <w:trPr>
          <w:trHeight w:val="615" w:hRule="atLeast"/>
          <w:jc w:val="center"/>
        </w:trPr>
        <w:tc>
          <w:tcPr>
            <w:tcW w:w="874" w:type="dxa"/>
            <w:vAlign w:val="center"/>
          </w:tcPr>
          <w:p>
            <w:pPr>
              <w:jc w:val="center"/>
              <w:rPr>
                <w:rFonts w:eastAsia="黑体"/>
                <w:sz w:val="24"/>
              </w:rPr>
            </w:pPr>
            <w:r>
              <w:rPr>
                <w:rFonts w:eastAsia="黑体"/>
                <w:sz w:val="24"/>
              </w:rPr>
              <w:t>2</w:t>
            </w:r>
          </w:p>
        </w:tc>
        <w:tc>
          <w:tcPr>
            <w:tcW w:w="2917" w:type="dxa"/>
            <w:vAlign w:val="center"/>
          </w:tcPr>
          <w:p>
            <w:pPr>
              <w:jc w:val="center"/>
              <w:rPr>
                <w:rFonts w:eastAsia="仿宋_GB2312"/>
                <w:sz w:val="24"/>
              </w:rPr>
            </w:pPr>
          </w:p>
        </w:tc>
        <w:tc>
          <w:tcPr>
            <w:tcW w:w="1431" w:type="dxa"/>
            <w:vAlign w:val="top"/>
          </w:tcPr>
          <w:p>
            <w:pPr>
              <w:jc w:val="center"/>
              <w:rPr>
                <w:rFonts w:eastAsia="仿宋_GB2312"/>
                <w:sz w:val="24"/>
              </w:rPr>
            </w:pPr>
          </w:p>
        </w:tc>
        <w:tc>
          <w:tcPr>
            <w:tcW w:w="1981" w:type="dxa"/>
            <w:vAlign w:val="center"/>
          </w:tcPr>
          <w:p>
            <w:pPr>
              <w:jc w:val="center"/>
              <w:rPr>
                <w:rFonts w:eastAsia="仿宋_GB2312"/>
                <w:sz w:val="24"/>
              </w:rPr>
            </w:pPr>
          </w:p>
        </w:tc>
        <w:tc>
          <w:tcPr>
            <w:tcW w:w="2521" w:type="dxa"/>
            <w:vAlign w:val="center"/>
          </w:tcPr>
          <w:p>
            <w:pPr>
              <w:jc w:val="center"/>
              <w:rPr>
                <w:rFonts w:eastAsia="仿宋_GB2312"/>
                <w:sz w:val="24"/>
              </w:rPr>
            </w:pPr>
          </w:p>
        </w:tc>
        <w:tc>
          <w:tcPr>
            <w:tcW w:w="1398" w:type="dxa"/>
            <w:vAlign w:val="top"/>
          </w:tcPr>
          <w:p>
            <w:pPr>
              <w:jc w:val="center"/>
              <w:rPr>
                <w:rFonts w:eastAsia="仿宋_GB2312"/>
                <w:sz w:val="24"/>
              </w:rPr>
            </w:pPr>
          </w:p>
        </w:tc>
        <w:tc>
          <w:tcPr>
            <w:tcW w:w="3118" w:type="dxa"/>
            <w:vAlign w:val="center"/>
          </w:tcPr>
          <w:p>
            <w:pPr>
              <w:jc w:val="center"/>
              <w:rPr>
                <w:rFonts w:eastAsia="仿宋_GB2312"/>
                <w:sz w:val="24"/>
              </w:rPr>
            </w:pPr>
          </w:p>
        </w:tc>
      </w:tr>
      <w:tr>
        <w:trPr>
          <w:trHeight w:val="615" w:hRule="atLeast"/>
          <w:jc w:val="center"/>
        </w:trPr>
        <w:tc>
          <w:tcPr>
            <w:tcW w:w="874" w:type="dxa"/>
            <w:vAlign w:val="center"/>
          </w:tcPr>
          <w:p>
            <w:pPr>
              <w:jc w:val="center"/>
              <w:rPr>
                <w:rFonts w:eastAsia="黑体"/>
                <w:sz w:val="24"/>
              </w:rPr>
            </w:pPr>
            <w:r>
              <w:rPr>
                <w:rFonts w:eastAsia="黑体"/>
                <w:sz w:val="24"/>
              </w:rPr>
              <w:t>3</w:t>
            </w:r>
          </w:p>
        </w:tc>
        <w:tc>
          <w:tcPr>
            <w:tcW w:w="2917" w:type="dxa"/>
            <w:vAlign w:val="center"/>
          </w:tcPr>
          <w:p>
            <w:pPr>
              <w:jc w:val="center"/>
              <w:rPr>
                <w:rFonts w:eastAsia="仿宋_GB2312"/>
                <w:sz w:val="24"/>
              </w:rPr>
            </w:pPr>
          </w:p>
        </w:tc>
        <w:tc>
          <w:tcPr>
            <w:tcW w:w="1431" w:type="dxa"/>
            <w:vAlign w:val="top"/>
          </w:tcPr>
          <w:p>
            <w:pPr>
              <w:jc w:val="center"/>
              <w:rPr>
                <w:rFonts w:eastAsia="仿宋_GB2312"/>
                <w:sz w:val="24"/>
              </w:rPr>
            </w:pPr>
          </w:p>
        </w:tc>
        <w:tc>
          <w:tcPr>
            <w:tcW w:w="1981" w:type="dxa"/>
            <w:vAlign w:val="center"/>
          </w:tcPr>
          <w:p>
            <w:pPr>
              <w:jc w:val="center"/>
              <w:rPr>
                <w:rFonts w:eastAsia="仿宋_GB2312"/>
                <w:sz w:val="24"/>
              </w:rPr>
            </w:pPr>
          </w:p>
        </w:tc>
        <w:tc>
          <w:tcPr>
            <w:tcW w:w="2521" w:type="dxa"/>
            <w:vAlign w:val="center"/>
          </w:tcPr>
          <w:p>
            <w:pPr>
              <w:jc w:val="center"/>
              <w:rPr>
                <w:rFonts w:eastAsia="仿宋_GB2312"/>
                <w:sz w:val="24"/>
              </w:rPr>
            </w:pPr>
          </w:p>
        </w:tc>
        <w:tc>
          <w:tcPr>
            <w:tcW w:w="1398" w:type="dxa"/>
            <w:vAlign w:val="top"/>
          </w:tcPr>
          <w:p>
            <w:pPr>
              <w:jc w:val="center"/>
              <w:rPr>
                <w:rFonts w:eastAsia="仿宋_GB2312"/>
                <w:sz w:val="24"/>
              </w:rPr>
            </w:pPr>
          </w:p>
        </w:tc>
        <w:tc>
          <w:tcPr>
            <w:tcW w:w="3118" w:type="dxa"/>
            <w:vAlign w:val="center"/>
          </w:tcPr>
          <w:p>
            <w:pPr>
              <w:jc w:val="center"/>
              <w:rPr>
                <w:rFonts w:eastAsia="仿宋_GB2312"/>
                <w:sz w:val="24"/>
              </w:rPr>
            </w:pPr>
          </w:p>
        </w:tc>
      </w:tr>
      <w:tr>
        <w:trPr>
          <w:trHeight w:val="615" w:hRule="atLeast"/>
          <w:jc w:val="center"/>
        </w:trPr>
        <w:tc>
          <w:tcPr>
            <w:tcW w:w="874" w:type="dxa"/>
            <w:vAlign w:val="center"/>
          </w:tcPr>
          <w:p>
            <w:pPr>
              <w:jc w:val="center"/>
              <w:rPr>
                <w:rFonts w:eastAsia="黑体"/>
                <w:sz w:val="24"/>
              </w:rPr>
            </w:pPr>
            <w:r>
              <w:rPr>
                <w:rFonts w:eastAsia="黑体"/>
                <w:sz w:val="24"/>
              </w:rPr>
              <w:t>……</w:t>
            </w:r>
          </w:p>
        </w:tc>
        <w:tc>
          <w:tcPr>
            <w:tcW w:w="2917" w:type="dxa"/>
            <w:vAlign w:val="center"/>
          </w:tcPr>
          <w:p>
            <w:pPr>
              <w:jc w:val="center"/>
              <w:rPr>
                <w:rFonts w:eastAsia="仿宋_GB2312"/>
                <w:sz w:val="24"/>
              </w:rPr>
            </w:pPr>
          </w:p>
        </w:tc>
        <w:tc>
          <w:tcPr>
            <w:tcW w:w="1431" w:type="dxa"/>
            <w:vAlign w:val="top"/>
          </w:tcPr>
          <w:p>
            <w:pPr>
              <w:jc w:val="center"/>
              <w:rPr>
                <w:rFonts w:eastAsia="仿宋_GB2312"/>
                <w:sz w:val="24"/>
              </w:rPr>
            </w:pPr>
          </w:p>
        </w:tc>
        <w:tc>
          <w:tcPr>
            <w:tcW w:w="1981" w:type="dxa"/>
            <w:vAlign w:val="center"/>
          </w:tcPr>
          <w:p>
            <w:pPr>
              <w:jc w:val="center"/>
              <w:rPr>
                <w:rFonts w:eastAsia="仿宋_GB2312"/>
                <w:sz w:val="24"/>
              </w:rPr>
            </w:pPr>
          </w:p>
        </w:tc>
        <w:tc>
          <w:tcPr>
            <w:tcW w:w="2521" w:type="dxa"/>
            <w:vAlign w:val="center"/>
          </w:tcPr>
          <w:p>
            <w:pPr>
              <w:jc w:val="center"/>
              <w:rPr>
                <w:rFonts w:eastAsia="仿宋_GB2312"/>
                <w:sz w:val="24"/>
              </w:rPr>
            </w:pPr>
          </w:p>
        </w:tc>
        <w:tc>
          <w:tcPr>
            <w:tcW w:w="1398" w:type="dxa"/>
            <w:vAlign w:val="top"/>
          </w:tcPr>
          <w:p>
            <w:pPr>
              <w:jc w:val="center"/>
              <w:rPr>
                <w:rFonts w:eastAsia="仿宋_GB2312"/>
                <w:sz w:val="24"/>
              </w:rPr>
            </w:pPr>
          </w:p>
        </w:tc>
        <w:tc>
          <w:tcPr>
            <w:tcW w:w="3118" w:type="dxa"/>
            <w:vAlign w:val="center"/>
          </w:tcPr>
          <w:p>
            <w:pPr>
              <w:jc w:val="center"/>
              <w:rPr>
                <w:rFonts w:eastAsia="仿宋_GB2312"/>
                <w:sz w:val="24"/>
              </w:rPr>
            </w:pPr>
          </w:p>
        </w:tc>
      </w:tr>
    </w:tbl>
    <w:p>
      <w:pPr>
        <w:snapToGrid w:val="0"/>
        <w:spacing w:beforeLines="50"/>
        <w:jc w:val="left"/>
        <w:rPr>
          <w:rFonts w:eastAsia="仿宋_GB2312"/>
          <w:color w:val="000000"/>
          <w:kern w:val="0"/>
          <w:sz w:val="22"/>
        </w:rPr>
      </w:pPr>
      <w:r>
        <w:rPr>
          <w:rFonts w:eastAsia="仿宋_GB2312"/>
          <w:color w:val="000000"/>
          <w:kern w:val="0"/>
          <w:sz w:val="22"/>
        </w:rPr>
        <w:t>备注：一、企业类型（填写编号）：1.食品；2.保健食品。</w:t>
      </w:r>
    </w:p>
    <w:p>
      <w:pPr>
        <w:snapToGrid w:val="0"/>
        <w:ind w:left="708" w:leftChars="337"/>
        <w:jc w:val="left"/>
        <w:rPr>
          <w:rFonts w:eastAsia="仿宋_GB2312"/>
          <w:color w:val="000000"/>
          <w:kern w:val="0"/>
          <w:sz w:val="22"/>
        </w:rPr>
        <w:sectPr>
          <w:pgSz w:w="16838" w:h="11906" w:orient="landscape"/>
          <w:pgMar w:top="1928" w:right="1531" w:bottom="1814" w:left="1531" w:header="851" w:footer="992" w:gutter="0"/>
          <w:cols w:space="425" w:num="1"/>
          <w:docGrid w:linePitch="312"/>
        </w:sectPr>
      </w:pPr>
      <w:r>
        <w:rPr>
          <w:rFonts w:eastAsia="仿宋_GB2312"/>
          <w:color w:val="000000"/>
          <w:kern w:val="0"/>
          <w:sz w:val="22"/>
        </w:rPr>
        <w:t>二、问题类型（填写编号）：1.未经许可生产经营食品和保健食品行为；2.食品和保健食品标签虚假标识声称行为;3.利用网络、会议营销、电视购物、直销、电话营销等方式违法营销宣传、欺诈销售食品和保健食品行为；4.未经审查发布保健食品广告以及发布虚假违法食品、保健食品广告行为；5.其他涉及食品、保健食品欺诈和虚假宣传等违法违规行为。</w:t>
      </w:r>
    </w:p>
    <w:p>
      <w:pPr>
        <w:rPr>
          <w:rFonts w:ascii="黑体" w:hAnsi="黑体" w:eastAsia="黑体"/>
          <w:sz w:val="32"/>
          <w:szCs w:val="32"/>
        </w:rPr>
      </w:pPr>
      <w:r>
        <w:rPr>
          <w:rFonts w:ascii="黑体" w:hAnsi="黑体" w:eastAsia="黑体"/>
          <w:sz w:val="32"/>
          <w:szCs w:val="32"/>
        </w:rPr>
        <w:t>附件4</w:t>
      </w:r>
    </w:p>
    <w:p>
      <w:pPr>
        <w:rPr>
          <w:rFonts w:ascii="黑体" w:hAnsi="黑体" w:eastAsia="黑体"/>
          <w:sz w:val="32"/>
          <w:szCs w:val="32"/>
        </w:rPr>
      </w:pPr>
    </w:p>
    <w:p>
      <w:pPr>
        <w:widowControl/>
        <w:spacing w:line="360" w:lineRule="auto"/>
        <w:jc w:val="center"/>
        <w:rPr>
          <w:rFonts w:eastAsia="方正小标宋简体"/>
          <w:bCs/>
          <w:color w:val="000000"/>
          <w:kern w:val="0"/>
          <w:sz w:val="44"/>
          <w:szCs w:val="44"/>
        </w:rPr>
      </w:pPr>
      <w:r>
        <w:rPr>
          <w:rFonts w:eastAsia="方正小标宋简体"/>
          <w:bCs/>
          <w:color w:val="000000"/>
          <w:kern w:val="0"/>
          <w:sz w:val="44"/>
          <w:szCs w:val="44"/>
        </w:rPr>
        <w:t>食品、保健食品欺诈和虚假宣传整治经营环节工作情况统计报表</w:t>
      </w:r>
    </w:p>
    <w:p>
      <w:pPr>
        <w:widowControl/>
        <w:snapToGrid w:val="0"/>
        <w:jc w:val="center"/>
        <w:rPr>
          <w:rFonts w:eastAsia="仿宋_GB2312"/>
          <w:bCs/>
          <w:color w:val="000000"/>
          <w:kern w:val="0"/>
          <w:sz w:val="28"/>
          <w:szCs w:val="28"/>
        </w:rPr>
      </w:pPr>
      <w:r>
        <w:rPr>
          <w:rFonts w:eastAsia="仿宋_GB2312"/>
          <w:bCs/>
          <w:color w:val="000000"/>
          <w:kern w:val="0"/>
          <w:sz w:val="28"/>
          <w:szCs w:val="28"/>
        </w:rPr>
        <w:t>（统计时间段：</w:t>
      </w:r>
      <w:r>
        <w:rPr>
          <w:rFonts w:hint="eastAsia" w:eastAsia="仿宋_GB2312"/>
          <w:bCs/>
          <w:color w:val="000000"/>
          <w:kern w:val="0"/>
          <w:sz w:val="28"/>
          <w:szCs w:val="28"/>
        </w:rPr>
        <w:t xml:space="preserve">    </w:t>
      </w:r>
      <w:r>
        <w:rPr>
          <w:rFonts w:eastAsia="仿宋_GB2312"/>
          <w:bCs/>
          <w:color w:val="000000"/>
          <w:kern w:val="0"/>
          <w:sz w:val="28"/>
          <w:szCs w:val="28"/>
        </w:rPr>
        <w:t>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    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w:t>
      </w:r>
    </w:p>
    <w:p>
      <w:pPr>
        <w:rPr>
          <w:rFonts w:eastAsia="仿宋_GB2312"/>
          <w:sz w:val="28"/>
          <w:szCs w:val="30"/>
        </w:rPr>
      </w:pPr>
      <w:r>
        <w:rPr>
          <w:rFonts w:eastAsia="仿宋_GB2312"/>
          <w:bCs/>
          <w:color w:val="000000"/>
          <w:kern w:val="0"/>
          <w:sz w:val="28"/>
          <w:szCs w:val="30"/>
        </w:rPr>
        <w:t>填报单位（公章）：</w:t>
      </w:r>
      <w:r>
        <w:rPr>
          <w:rFonts w:hint="eastAsia" w:eastAsia="仿宋_GB2312"/>
          <w:bCs/>
          <w:color w:val="000000"/>
          <w:kern w:val="0"/>
          <w:sz w:val="28"/>
          <w:szCs w:val="30"/>
        </w:rPr>
        <w:t xml:space="preserve">                         </w:t>
      </w:r>
      <w:r>
        <w:rPr>
          <w:rFonts w:eastAsia="仿宋_GB2312"/>
          <w:bCs/>
          <w:color w:val="000000"/>
          <w:kern w:val="0"/>
          <w:sz w:val="28"/>
          <w:szCs w:val="30"/>
        </w:rPr>
        <w:t>填报人：</w:t>
      </w:r>
      <w:r>
        <w:rPr>
          <w:rFonts w:hint="eastAsia" w:eastAsia="仿宋_GB2312"/>
          <w:bCs/>
          <w:color w:val="000000"/>
          <w:kern w:val="0"/>
          <w:sz w:val="28"/>
          <w:szCs w:val="30"/>
        </w:rPr>
        <w:t xml:space="preserve">       </w:t>
      </w:r>
      <w:r>
        <w:rPr>
          <w:rFonts w:eastAsia="仿宋_GB2312"/>
          <w:bCs/>
          <w:color w:val="000000"/>
          <w:kern w:val="0"/>
          <w:sz w:val="28"/>
          <w:szCs w:val="30"/>
        </w:rPr>
        <w:t>联系方式：</w:t>
      </w:r>
      <w:r>
        <w:rPr>
          <w:rFonts w:hint="eastAsia" w:eastAsia="仿宋_GB2312"/>
          <w:bCs/>
          <w:color w:val="000000"/>
          <w:kern w:val="0"/>
          <w:sz w:val="28"/>
          <w:szCs w:val="30"/>
        </w:rPr>
        <w:t xml:space="preserve">        </w:t>
      </w:r>
      <w:r>
        <w:rPr>
          <w:rFonts w:eastAsia="仿宋_GB2312"/>
          <w:bCs/>
          <w:color w:val="000000"/>
          <w:kern w:val="0"/>
          <w:sz w:val="28"/>
          <w:szCs w:val="30"/>
        </w:rPr>
        <w:t>报送日期：</w:t>
      </w:r>
      <w:r>
        <w:rPr>
          <w:rFonts w:hint="eastAsia" w:eastAsia="仿宋_GB2312"/>
          <w:bCs/>
          <w:color w:val="000000"/>
          <w:kern w:val="0"/>
          <w:sz w:val="28"/>
          <w:szCs w:val="30"/>
        </w:rPr>
        <w:t xml:space="preserve">    </w:t>
      </w:r>
      <w:r>
        <w:rPr>
          <w:rFonts w:eastAsia="仿宋_GB2312"/>
          <w:bCs/>
          <w:color w:val="000000"/>
          <w:kern w:val="0"/>
          <w:sz w:val="28"/>
          <w:szCs w:val="30"/>
        </w:rPr>
        <w:t>年</w:t>
      </w:r>
      <w:r>
        <w:rPr>
          <w:rFonts w:hint="eastAsia" w:eastAsia="仿宋_GB2312"/>
          <w:bCs/>
          <w:color w:val="000000"/>
          <w:kern w:val="0"/>
          <w:sz w:val="28"/>
          <w:szCs w:val="30"/>
        </w:rPr>
        <w:t xml:space="preserve">  </w:t>
      </w:r>
      <w:r>
        <w:rPr>
          <w:rFonts w:eastAsia="仿宋_GB2312"/>
          <w:bCs/>
          <w:color w:val="000000"/>
          <w:kern w:val="0"/>
          <w:sz w:val="28"/>
          <w:szCs w:val="30"/>
        </w:rPr>
        <w:t>月</w:t>
      </w:r>
      <w:r>
        <w:rPr>
          <w:rFonts w:hint="eastAsia" w:eastAsia="仿宋_GB2312"/>
          <w:bCs/>
          <w:color w:val="000000"/>
          <w:kern w:val="0"/>
          <w:sz w:val="28"/>
          <w:szCs w:val="30"/>
        </w:rPr>
        <w:t xml:space="preserve">  </w:t>
      </w:r>
      <w:r>
        <w:rPr>
          <w:rFonts w:eastAsia="仿宋_GB2312"/>
          <w:bCs/>
          <w:color w:val="000000"/>
          <w:kern w:val="0"/>
          <w:sz w:val="28"/>
          <w:szCs w:val="30"/>
        </w:rPr>
        <w:t>日</w:t>
      </w:r>
    </w:p>
    <w:tbl>
      <w:tblPr>
        <w:tblW w:w="143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360"/>
        <w:gridCol w:w="3334"/>
        <w:gridCol w:w="3181"/>
        <w:gridCol w:w="3461"/>
        <w:gridCol w:w="2998"/>
      </w:tblGrid>
      <w:tr>
        <w:trPr>
          <w:trHeight w:val="397" w:hRule="exact"/>
          <w:jc w:val="center"/>
        </w:trPr>
        <w:tc>
          <w:tcPr>
            <w:tcW w:w="46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类别</w:t>
            </w:r>
          </w:p>
        </w:tc>
        <w:tc>
          <w:tcPr>
            <w:tcW w:w="318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食品</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保健食品</w:t>
            </w:r>
          </w:p>
        </w:tc>
        <w:tc>
          <w:tcPr>
            <w:tcW w:w="299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总计</w:t>
            </w:r>
          </w:p>
        </w:tc>
      </w:tr>
      <w:tr>
        <w:trPr>
          <w:trHeight w:val="397" w:hRule="exact"/>
          <w:jc w:val="center"/>
        </w:trPr>
        <w:tc>
          <w:tcPr>
            <w:tcW w:w="13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eastAsia="黑体"/>
                <w:color w:val="000000"/>
                <w:kern w:val="0"/>
                <w:sz w:val="24"/>
              </w:rPr>
            </w:pPr>
            <w:r>
              <w:rPr>
                <w:rFonts w:eastAsia="黑体"/>
                <w:color w:val="000000"/>
                <w:kern w:val="0"/>
                <w:sz w:val="24"/>
              </w:rPr>
              <w:t>检查情况</w:t>
            </w: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kern w:val="0"/>
                <w:sz w:val="24"/>
              </w:rPr>
              <w:t>检查企业数（家）</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黑体"/>
                <w:color w:val="000000"/>
                <w:kern w:val="0"/>
                <w:sz w:val="24"/>
              </w:rPr>
            </w:pP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kern w:val="0"/>
                <w:sz w:val="24"/>
              </w:rPr>
              <w:t>发现问题企业数（家）</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黑体"/>
                <w:color w:val="000000"/>
                <w:kern w:val="0"/>
                <w:sz w:val="24"/>
              </w:rPr>
            </w:pP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kern w:val="0"/>
                <w:sz w:val="24"/>
              </w:rPr>
              <w:t>发现问题产品数（批次）</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黑体"/>
                <w:color w:val="000000"/>
                <w:kern w:val="0"/>
                <w:sz w:val="24"/>
              </w:rPr>
            </w:pP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kern w:val="0"/>
                <w:sz w:val="24"/>
              </w:rPr>
              <w:t>检查发现问题（条）</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eastAsia="黑体"/>
                <w:color w:val="000000"/>
                <w:kern w:val="0"/>
                <w:sz w:val="24"/>
              </w:rPr>
            </w:pPr>
            <w:r>
              <w:rPr>
                <w:rFonts w:eastAsia="黑体"/>
                <w:color w:val="000000"/>
                <w:kern w:val="0"/>
                <w:sz w:val="24"/>
              </w:rPr>
              <w:t>处置情况</w:t>
            </w: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kern w:val="0"/>
                <w:sz w:val="24"/>
              </w:rPr>
              <w:t>责令整改（家）</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sz w:val="22"/>
              </w:rPr>
              <w:t>已完成整改企业（家）</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kern w:val="0"/>
                <w:sz w:val="24"/>
              </w:rPr>
              <w:t>召回产品数（批次）</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kern w:val="0"/>
                <w:sz w:val="24"/>
              </w:rPr>
              <w:t>责令停产（家）</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sz w:val="22"/>
              </w:rPr>
              <w:t>吊销生产（经营）许可证（家）</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sz w:val="22"/>
              </w:rPr>
            </w:pP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rPr>
            </w:pPr>
            <w:r>
              <w:rPr>
                <w:rFonts w:eastAsia="仿宋_GB2312"/>
                <w:color w:val="000000"/>
                <w:sz w:val="22"/>
              </w:rPr>
              <w:t>立案查处案件数（起）</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r>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sz w:val="22"/>
              </w:rPr>
            </w:pPr>
          </w:p>
        </w:tc>
        <w:tc>
          <w:tcPr>
            <w:tcW w:w="3334" w:type="dxa"/>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 w:val="24"/>
                <w:highlight w:val="yellow"/>
              </w:rPr>
            </w:pPr>
            <w:r>
              <w:rPr>
                <w:rFonts w:eastAsia="仿宋_GB2312"/>
                <w:color w:val="000000"/>
                <w:kern w:val="0"/>
                <w:sz w:val="24"/>
              </w:rPr>
              <w:t>涉案货值金额（万元）</w:t>
            </w:r>
          </w:p>
        </w:tc>
        <w:tc>
          <w:tcPr>
            <w:tcW w:w="318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3461"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c>
          <w:tcPr>
            <w:tcW w:w="299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4"/>
              </w:rPr>
            </w:pPr>
          </w:p>
        </w:tc>
      </w:tr>
    </w:tbl>
    <w:p>
      <w:pPr>
        <w:rPr>
          <w:rFonts w:eastAsia="黑体"/>
          <w:sz w:val="32"/>
          <w:szCs w:val="32"/>
        </w:rPr>
        <w:sectPr>
          <w:pgSz w:w="16838" w:h="11906" w:orient="landscape"/>
          <w:pgMar w:top="1928" w:right="1531" w:bottom="1814" w:left="1531" w:header="851" w:footer="992" w:gutter="0"/>
          <w:cols w:space="425" w:num="1"/>
          <w:docGrid w:linePitch="312"/>
        </w:sectPr>
      </w:pPr>
    </w:p>
    <w:p>
      <w:pPr>
        <w:rPr>
          <w:rFonts w:ascii="黑体" w:hAnsi="黑体" w:eastAsia="黑体"/>
          <w:sz w:val="32"/>
          <w:szCs w:val="32"/>
        </w:rPr>
      </w:pPr>
      <w:r>
        <w:rPr>
          <w:rFonts w:ascii="黑体" w:hAnsi="黑体" w:eastAsia="黑体"/>
          <w:sz w:val="32"/>
          <w:szCs w:val="32"/>
        </w:rPr>
        <w:t>附件5</w:t>
      </w:r>
    </w:p>
    <w:p>
      <w:pPr>
        <w:jc w:val="center"/>
        <w:rPr>
          <w:rFonts w:ascii="黑体" w:hAnsi="黑体" w:eastAsia="黑体"/>
          <w:bCs/>
          <w:color w:val="000000"/>
          <w:kern w:val="0"/>
          <w:sz w:val="44"/>
          <w:szCs w:val="44"/>
        </w:rPr>
      </w:pPr>
    </w:p>
    <w:p>
      <w:pPr>
        <w:jc w:val="center"/>
        <w:rPr>
          <w:rFonts w:eastAsia="黑体"/>
          <w:sz w:val="32"/>
          <w:szCs w:val="32"/>
        </w:rPr>
      </w:pPr>
      <w:r>
        <w:rPr>
          <w:rFonts w:eastAsia="方正小标宋简体"/>
          <w:bCs/>
          <w:color w:val="000000"/>
          <w:kern w:val="0"/>
          <w:sz w:val="44"/>
          <w:szCs w:val="44"/>
        </w:rPr>
        <w:t>食品、保健食品欺诈和虚假宣传整治经营环节工作检查整改情况台账</w:t>
      </w:r>
    </w:p>
    <w:p>
      <w:pPr>
        <w:widowControl/>
        <w:snapToGrid w:val="0"/>
        <w:jc w:val="center"/>
        <w:rPr>
          <w:rFonts w:eastAsia="仿宋_GB2312"/>
          <w:bCs/>
          <w:color w:val="000000"/>
          <w:kern w:val="0"/>
          <w:sz w:val="28"/>
          <w:szCs w:val="28"/>
        </w:rPr>
      </w:pPr>
      <w:r>
        <w:rPr>
          <w:rFonts w:eastAsia="仿宋_GB2312"/>
          <w:bCs/>
          <w:color w:val="000000"/>
          <w:kern w:val="0"/>
          <w:sz w:val="28"/>
          <w:szCs w:val="28"/>
        </w:rPr>
        <w:t>（统计时间段：</w:t>
      </w:r>
      <w:r>
        <w:rPr>
          <w:rFonts w:hint="eastAsia" w:eastAsia="仿宋_GB2312"/>
          <w:bCs/>
          <w:color w:val="000000"/>
          <w:kern w:val="0"/>
          <w:sz w:val="28"/>
          <w:szCs w:val="28"/>
        </w:rPr>
        <w:t xml:space="preserve">    </w:t>
      </w:r>
      <w:r>
        <w:rPr>
          <w:rFonts w:eastAsia="仿宋_GB2312"/>
          <w:bCs/>
          <w:color w:val="000000"/>
          <w:kern w:val="0"/>
          <w:sz w:val="28"/>
          <w:szCs w:val="28"/>
        </w:rPr>
        <w:t>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    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w:t>
      </w:r>
    </w:p>
    <w:p>
      <w:pPr>
        <w:widowControl/>
        <w:snapToGrid w:val="0"/>
        <w:jc w:val="center"/>
        <w:rPr>
          <w:rFonts w:eastAsia="仿宋_GB2312"/>
          <w:bCs/>
          <w:color w:val="000000"/>
          <w:kern w:val="0"/>
          <w:sz w:val="28"/>
          <w:szCs w:val="28"/>
        </w:rPr>
      </w:pPr>
    </w:p>
    <w:p>
      <w:pPr>
        <w:rPr>
          <w:rFonts w:eastAsia="仿宋_GB2312"/>
          <w:sz w:val="28"/>
          <w:szCs w:val="30"/>
        </w:rPr>
      </w:pPr>
      <w:r>
        <w:rPr>
          <w:rFonts w:eastAsia="仿宋_GB2312"/>
          <w:bCs/>
          <w:color w:val="000000"/>
          <w:kern w:val="0"/>
          <w:sz w:val="28"/>
          <w:szCs w:val="30"/>
        </w:rPr>
        <w:t>填报单位（公章）：</w:t>
      </w:r>
      <w:r>
        <w:rPr>
          <w:rFonts w:hint="eastAsia" w:eastAsia="仿宋_GB2312"/>
          <w:bCs/>
          <w:color w:val="000000"/>
          <w:kern w:val="0"/>
          <w:sz w:val="28"/>
          <w:szCs w:val="30"/>
        </w:rPr>
        <w:t xml:space="preserve">                      </w:t>
      </w:r>
      <w:r>
        <w:rPr>
          <w:rFonts w:eastAsia="仿宋_GB2312"/>
          <w:bCs/>
          <w:color w:val="000000"/>
          <w:kern w:val="0"/>
          <w:sz w:val="28"/>
          <w:szCs w:val="30"/>
        </w:rPr>
        <w:t>填报人：</w:t>
      </w:r>
      <w:r>
        <w:rPr>
          <w:rFonts w:hint="eastAsia" w:eastAsia="仿宋_GB2312"/>
          <w:bCs/>
          <w:color w:val="000000"/>
          <w:kern w:val="0"/>
          <w:sz w:val="28"/>
          <w:szCs w:val="30"/>
        </w:rPr>
        <w:t xml:space="preserve">           </w:t>
      </w:r>
      <w:r>
        <w:rPr>
          <w:rFonts w:eastAsia="仿宋_GB2312"/>
          <w:bCs/>
          <w:color w:val="000000"/>
          <w:kern w:val="0"/>
          <w:sz w:val="28"/>
          <w:szCs w:val="30"/>
        </w:rPr>
        <w:t>联系方式：</w:t>
      </w:r>
      <w:r>
        <w:rPr>
          <w:rFonts w:hint="eastAsia" w:eastAsia="仿宋_GB2312"/>
          <w:bCs/>
          <w:color w:val="000000"/>
          <w:kern w:val="0"/>
          <w:sz w:val="28"/>
          <w:szCs w:val="30"/>
        </w:rPr>
        <w:t xml:space="preserve">       </w:t>
      </w:r>
      <w:r>
        <w:rPr>
          <w:rFonts w:eastAsia="仿宋_GB2312"/>
          <w:bCs/>
          <w:color w:val="000000"/>
          <w:kern w:val="0"/>
          <w:sz w:val="28"/>
          <w:szCs w:val="30"/>
        </w:rPr>
        <w:t>报送日期：</w:t>
      </w:r>
      <w:r>
        <w:rPr>
          <w:rFonts w:hint="eastAsia" w:eastAsia="仿宋_GB2312"/>
          <w:bCs/>
          <w:color w:val="000000"/>
          <w:kern w:val="0"/>
          <w:sz w:val="28"/>
          <w:szCs w:val="30"/>
        </w:rPr>
        <w:t xml:space="preserve">    </w:t>
      </w:r>
      <w:r>
        <w:rPr>
          <w:rFonts w:eastAsia="仿宋_GB2312"/>
          <w:bCs/>
          <w:color w:val="000000"/>
          <w:kern w:val="0"/>
          <w:sz w:val="28"/>
          <w:szCs w:val="30"/>
        </w:rPr>
        <w:t>年</w:t>
      </w:r>
      <w:r>
        <w:rPr>
          <w:rFonts w:hint="eastAsia" w:eastAsia="仿宋_GB2312"/>
          <w:bCs/>
          <w:color w:val="000000"/>
          <w:kern w:val="0"/>
          <w:sz w:val="28"/>
          <w:szCs w:val="30"/>
        </w:rPr>
        <w:t xml:space="preserve">  </w:t>
      </w:r>
      <w:r>
        <w:rPr>
          <w:rFonts w:eastAsia="仿宋_GB2312"/>
          <w:bCs/>
          <w:color w:val="000000"/>
          <w:kern w:val="0"/>
          <w:sz w:val="28"/>
          <w:szCs w:val="30"/>
        </w:rPr>
        <w:t>月</w:t>
      </w:r>
      <w:r>
        <w:rPr>
          <w:rFonts w:hint="eastAsia" w:eastAsia="仿宋_GB2312"/>
          <w:bCs/>
          <w:color w:val="000000"/>
          <w:kern w:val="0"/>
          <w:sz w:val="28"/>
          <w:szCs w:val="30"/>
        </w:rPr>
        <w:t xml:space="preserve">  </w:t>
      </w:r>
      <w:r>
        <w:rPr>
          <w:rFonts w:eastAsia="仿宋_GB2312"/>
          <w:bCs/>
          <w:color w:val="000000"/>
          <w:kern w:val="0"/>
          <w:sz w:val="28"/>
          <w:szCs w:val="30"/>
        </w:rPr>
        <w:t>日</w:t>
      </w:r>
    </w:p>
    <w:tbl>
      <w:tblPr>
        <w:tblW w:w="14240" w:type="dxa"/>
        <w:jc w:val="center"/>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4"/>
        <w:gridCol w:w="2917"/>
        <w:gridCol w:w="1431"/>
        <w:gridCol w:w="1981"/>
        <w:gridCol w:w="2521"/>
        <w:gridCol w:w="1398"/>
        <w:gridCol w:w="3118"/>
      </w:tblGrid>
      <w:tr>
        <w:trPr>
          <w:trHeight w:val="76" w:hRule="atLeast"/>
          <w:jc w:val="center"/>
        </w:trPr>
        <w:tc>
          <w:tcPr>
            <w:tcW w:w="874" w:type="dxa"/>
            <w:vAlign w:val="center"/>
          </w:tcPr>
          <w:p>
            <w:pPr>
              <w:jc w:val="center"/>
              <w:rPr>
                <w:rFonts w:eastAsia="黑体"/>
                <w:sz w:val="24"/>
              </w:rPr>
            </w:pPr>
            <w:r>
              <w:rPr>
                <w:rFonts w:eastAsia="黑体"/>
                <w:sz w:val="24"/>
              </w:rPr>
              <w:t>序号</w:t>
            </w:r>
          </w:p>
        </w:tc>
        <w:tc>
          <w:tcPr>
            <w:tcW w:w="2917" w:type="dxa"/>
            <w:vAlign w:val="center"/>
          </w:tcPr>
          <w:p>
            <w:pPr>
              <w:jc w:val="center"/>
              <w:rPr>
                <w:rFonts w:eastAsia="黑体"/>
                <w:sz w:val="24"/>
              </w:rPr>
            </w:pPr>
            <w:r>
              <w:rPr>
                <w:rFonts w:eastAsia="黑体"/>
                <w:sz w:val="24"/>
              </w:rPr>
              <w:t>企业名称</w:t>
            </w:r>
          </w:p>
        </w:tc>
        <w:tc>
          <w:tcPr>
            <w:tcW w:w="1431" w:type="dxa"/>
            <w:vAlign w:val="center"/>
          </w:tcPr>
          <w:p>
            <w:pPr>
              <w:jc w:val="center"/>
              <w:rPr>
                <w:rFonts w:eastAsia="黑体"/>
                <w:sz w:val="24"/>
              </w:rPr>
            </w:pPr>
            <w:r>
              <w:rPr>
                <w:rFonts w:eastAsia="黑体"/>
                <w:sz w:val="24"/>
              </w:rPr>
              <w:t>企业类型</w:t>
            </w:r>
          </w:p>
        </w:tc>
        <w:tc>
          <w:tcPr>
            <w:tcW w:w="1981" w:type="dxa"/>
            <w:vAlign w:val="center"/>
          </w:tcPr>
          <w:p>
            <w:pPr>
              <w:jc w:val="center"/>
              <w:rPr>
                <w:rFonts w:eastAsia="黑体"/>
                <w:sz w:val="24"/>
              </w:rPr>
            </w:pPr>
            <w:r>
              <w:rPr>
                <w:rFonts w:eastAsia="黑体"/>
                <w:sz w:val="24"/>
              </w:rPr>
              <w:t>产品名称</w:t>
            </w:r>
          </w:p>
        </w:tc>
        <w:tc>
          <w:tcPr>
            <w:tcW w:w="2521" w:type="dxa"/>
            <w:vAlign w:val="center"/>
          </w:tcPr>
          <w:p>
            <w:pPr>
              <w:jc w:val="center"/>
              <w:rPr>
                <w:rFonts w:eastAsia="黑体"/>
                <w:sz w:val="24"/>
              </w:rPr>
            </w:pPr>
            <w:r>
              <w:rPr>
                <w:rFonts w:eastAsia="黑体"/>
                <w:sz w:val="24"/>
              </w:rPr>
              <w:t>检查发现的</w:t>
            </w:r>
          </w:p>
          <w:p>
            <w:pPr>
              <w:jc w:val="center"/>
              <w:rPr>
                <w:rFonts w:eastAsia="黑体"/>
                <w:sz w:val="24"/>
              </w:rPr>
            </w:pPr>
            <w:r>
              <w:rPr>
                <w:rFonts w:eastAsia="黑体"/>
                <w:sz w:val="24"/>
              </w:rPr>
              <w:t>问题</w:t>
            </w:r>
          </w:p>
        </w:tc>
        <w:tc>
          <w:tcPr>
            <w:tcW w:w="1398" w:type="dxa"/>
            <w:vAlign w:val="center"/>
          </w:tcPr>
          <w:p>
            <w:pPr>
              <w:jc w:val="center"/>
              <w:rPr>
                <w:rFonts w:eastAsia="黑体"/>
                <w:sz w:val="24"/>
              </w:rPr>
            </w:pPr>
            <w:r>
              <w:rPr>
                <w:rFonts w:eastAsia="黑体"/>
                <w:sz w:val="24"/>
              </w:rPr>
              <w:t>问题类型</w:t>
            </w:r>
          </w:p>
        </w:tc>
        <w:tc>
          <w:tcPr>
            <w:tcW w:w="3118" w:type="dxa"/>
            <w:vAlign w:val="center"/>
          </w:tcPr>
          <w:p>
            <w:pPr>
              <w:jc w:val="center"/>
              <w:rPr>
                <w:rFonts w:eastAsia="黑体"/>
                <w:sz w:val="24"/>
                <w:highlight w:val="yellow"/>
              </w:rPr>
            </w:pPr>
            <w:r>
              <w:rPr>
                <w:rFonts w:eastAsia="黑体"/>
                <w:sz w:val="24"/>
              </w:rPr>
              <w:t>处置情况</w:t>
            </w:r>
          </w:p>
        </w:tc>
      </w:tr>
      <w:tr>
        <w:trPr>
          <w:trHeight w:val="455" w:hRule="atLeast"/>
          <w:jc w:val="center"/>
        </w:trPr>
        <w:tc>
          <w:tcPr>
            <w:tcW w:w="874" w:type="dxa"/>
            <w:vMerge w:val="restart"/>
            <w:vAlign w:val="center"/>
          </w:tcPr>
          <w:p>
            <w:pPr>
              <w:spacing w:line="360" w:lineRule="auto"/>
              <w:jc w:val="center"/>
              <w:rPr>
                <w:rFonts w:eastAsia="黑体"/>
                <w:sz w:val="24"/>
              </w:rPr>
            </w:pPr>
            <w:r>
              <w:rPr>
                <w:rFonts w:eastAsia="黑体"/>
                <w:sz w:val="24"/>
              </w:rPr>
              <w:t>1</w:t>
            </w:r>
          </w:p>
        </w:tc>
        <w:tc>
          <w:tcPr>
            <w:tcW w:w="2917" w:type="dxa"/>
            <w:vMerge w:val="restart"/>
            <w:vAlign w:val="center"/>
          </w:tcPr>
          <w:p>
            <w:pPr>
              <w:spacing w:line="360" w:lineRule="auto"/>
              <w:jc w:val="center"/>
              <w:rPr>
                <w:rFonts w:eastAsia="仿宋_GB2312"/>
                <w:sz w:val="24"/>
              </w:rPr>
            </w:pPr>
          </w:p>
        </w:tc>
        <w:tc>
          <w:tcPr>
            <w:tcW w:w="1431" w:type="dxa"/>
            <w:vMerge w:val="restart"/>
            <w:vAlign w:val="center"/>
          </w:tcPr>
          <w:p>
            <w:pPr>
              <w:spacing w:line="360" w:lineRule="auto"/>
              <w:jc w:val="center"/>
              <w:rPr>
                <w:rFonts w:eastAsia="仿宋_GB2312"/>
                <w:sz w:val="24"/>
              </w:rPr>
            </w:pPr>
          </w:p>
        </w:tc>
        <w:tc>
          <w:tcPr>
            <w:tcW w:w="1981" w:type="dxa"/>
            <w:vAlign w:val="center"/>
          </w:tcPr>
          <w:p>
            <w:pPr>
              <w:spacing w:line="360" w:lineRule="auto"/>
              <w:jc w:val="center"/>
              <w:rPr>
                <w:rFonts w:eastAsia="仿宋_GB2312"/>
                <w:sz w:val="24"/>
              </w:rPr>
            </w:pPr>
          </w:p>
        </w:tc>
        <w:tc>
          <w:tcPr>
            <w:tcW w:w="2521" w:type="dxa"/>
            <w:vAlign w:val="center"/>
          </w:tcPr>
          <w:p>
            <w:pPr>
              <w:spacing w:line="360" w:lineRule="auto"/>
              <w:jc w:val="center"/>
              <w:rPr>
                <w:rFonts w:eastAsia="仿宋_GB2312"/>
                <w:sz w:val="24"/>
              </w:rPr>
            </w:pPr>
          </w:p>
        </w:tc>
        <w:tc>
          <w:tcPr>
            <w:tcW w:w="1398" w:type="dxa"/>
            <w:vAlign w:val="center"/>
          </w:tcPr>
          <w:p>
            <w:pPr>
              <w:spacing w:line="360" w:lineRule="auto"/>
              <w:jc w:val="center"/>
              <w:rPr>
                <w:rFonts w:eastAsia="仿宋_GB2312"/>
                <w:sz w:val="24"/>
              </w:rPr>
            </w:pPr>
          </w:p>
        </w:tc>
        <w:tc>
          <w:tcPr>
            <w:tcW w:w="3118" w:type="dxa"/>
            <w:vAlign w:val="center"/>
          </w:tcPr>
          <w:p>
            <w:pPr>
              <w:spacing w:line="360" w:lineRule="auto"/>
              <w:jc w:val="center"/>
              <w:rPr>
                <w:rFonts w:eastAsia="仿宋_GB2312"/>
                <w:sz w:val="24"/>
              </w:rPr>
            </w:pPr>
          </w:p>
        </w:tc>
      </w:tr>
      <w:tr>
        <w:trPr>
          <w:trHeight w:val="142" w:hRule="atLeast"/>
          <w:jc w:val="center"/>
        </w:trPr>
        <w:tc>
          <w:tcPr>
            <w:tcW w:w="874" w:type="dxa"/>
            <w:vMerge w:val="continue"/>
            <w:vAlign w:val="center"/>
          </w:tcPr>
          <w:p>
            <w:pPr>
              <w:spacing w:line="360" w:lineRule="auto"/>
              <w:jc w:val="center"/>
              <w:rPr>
                <w:rFonts w:eastAsia="黑体"/>
                <w:sz w:val="24"/>
              </w:rPr>
            </w:pPr>
          </w:p>
        </w:tc>
        <w:tc>
          <w:tcPr>
            <w:tcW w:w="2917" w:type="dxa"/>
            <w:vMerge w:val="continue"/>
            <w:vAlign w:val="center"/>
          </w:tcPr>
          <w:p>
            <w:pPr>
              <w:spacing w:line="360" w:lineRule="auto"/>
              <w:jc w:val="center"/>
              <w:rPr>
                <w:rFonts w:eastAsia="仿宋_GB2312"/>
                <w:sz w:val="24"/>
              </w:rPr>
            </w:pPr>
          </w:p>
        </w:tc>
        <w:tc>
          <w:tcPr>
            <w:tcW w:w="1431" w:type="dxa"/>
            <w:vMerge w:val="continue"/>
            <w:vAlign w:val="center"/>
          </w:tcPr>
          <w:p>
            <w:pPr>
              <w:spacing w:line="360" w:lineRule="auto"/>
              <w:jc w:val="center"/>
              <w:rPr>
                <w:rFonts w:eastAsia="仿宋_GB2312"/>
                <w:sz w:val="24"/>
              </w:rPr>
            </w:pPr>
          </w:p>
        </w:tc>
        <w:tc>
          <w:tcPr>
            <w:tcW w:w="1981" w:type="dxa"/>
            <w:vAlign w:val="center"/>
          </w:tcPr>
          <w:p>
            <w:pPr>
              <w:spacing w:line="360" w:lineRule="auto"/>
              <w:jc w:val="center"/>
              <w:rPr>
                <w:rFonts w:eastAsia="仿宋_GB2312"/>
                <w:sz w:val="24"/>
              </w:rPr>
            </w:pPr>
          </w:p>
        </w:tc>
        <w:tc>
          <w:tcPr>
            <w:tcW w:w="2521" w:type="dxa"/>
            <w:vAlign w:val="center"/>
          </w:tcPr>
          <w:p>
            <w:pPr>
              <w:spacing w:line="360" w:lineRule="auto"/>
              <w:jc w:val="center"/>
              <w:rPr>
                <w:rFonts w:eastAsia="仿宋_GB2312"/>
                <w:sz w:val="24"/>
              </w:rPr>
            </w:pPr>
          </w:p>
        </w:tc>
        <w:tc>
          <w:tcPr>
            <w:tcW w:w="1398" w:type="dxa"/>
            <w:vAlign w:val="center"/>
          </w:tcPr>
          <w:p>
            <w:pPr>
              <w:spacing w:line="360" w:lineRule="auto"/>
              <w:jc w:val="center"/>
              <w:rPr>
                <w:rFonts w:eastAsia="仿宋_GB2312"/>
                <w:sz w:val="24"/>
              </w:rPr>
            </w:pPr>
          </w:p>
        </w:tc>
        <w:tc>
          <w:tcPr>
            <w:tcW w:w="3118" w:type="dxa"/>
            <w:vAlign w:val="center"/>
          </w:tcPr>
          <w:p>
            <w:pPr>
              <w:spacing w:line="360" w:lineRule="auto"/>
              <w:jc w:val="center"/>
              <w:rPr>
                <w:rFonts w:eastAsia="仿宋_GB2312"/>
                <w:sz w:val="24"/>
              </w:rPr>
            </w:pPr>
          </w:p>
        </w:tc>
      </w:tr>
      <w:tr>
        <w:trPr>
          <w:trHeight w:val="142" w:hRule="atLeast"/>
          <w:jc w:val="center"/>
        </w:trPr>
        <w:tc>
          <w:tcPr>
            <w:tcW w:w="874" w:type="dxa"/>
            <w:vMerge w:val="continue"/>
            <w:vAlign w:val="center"/>
          </w:tcPr>
          <w:p>
            <w:pPr>
              <w:spacing w:line="360" w:lineRule="auto"/>
              <w:jc w:val="center"/>
              <w:rPr>
                <w:rFonts w:eastAsia="黑体"/>
                <w:sz w:val="24"/>
              </w:rPr>
            </w:pPr>
          </w:p>
        </w:tc>
        <w:tc>
          <w:tcPr>
            <w:tcW w:w="2917" w:type="dxa"/>
            <w:vMerge w:val="continue"/>
            <w:vAlign w:val="center"/>
          </w:tcPr>
          <w:p>
            <w:pPr>
              <w:spacing w:line="360" w:lineRule="auto"/>
              <w:jc w:val="center"/>
              <w:rPr>
                <w:rFonts w:eastAsia="仿宋_GB2312"/>
                <w:sz w:val="24"/>
              </w:rPr>
            </w:pPr>
          </w:p>
        </w:tc>
        <w:tc>
          <w:tcPr>
            <w:tcW w:w="1431" w:type="dxa"/>
            <w:vMerge w:val="continue"/>
            <w:vAlign w:val="center"/>
          </w:tcPr>
          <w:p>
            <w:pPr>
              <w:spacing w:line="360" w:lineRule="auto"/>
              <w:jc w:val="center"/>
              <w:rPr>
                <w:rFonts w:eastAsia="仿宋_GB2312"/>
                <w:sz w:val="24"/>
              </w:rPr>
            </w:pPr>
          </w:p>
        </w:tc>
        <w:tc>
          <w:tcPr>
            <w:tcW w:w="1981" w:type="dxa"/>
            <w:vAlign w:val="center"/>
          </w:tcPr>
          <w:p>
            <w:pPr>
              <w:spacing w:line="360" w:lineRule="auto"/>
              <w:jc w:val="center"/>
              <w:rPr>
                <w:rFonts w:eastAsia="仿宋_GB2312"/>
                <w:sz w:val="24"/>
              </w:rPr>
            </w:pPr>
            <w:r>
              <w:rPr>
                <w:rFonts w:eastAsia="仿宋_GB2312"/>
                <w:sz w:val="24"/>
              </w:rPr>
              <w:t>……</w:t>
            </w:r>
          </w:p>
        </w:tc>
        <w:tc>
          <w:tcPr>
            <w:tcW w:w="2521" w:type="dxa"/>
            <w:vAlign w:val="center"/>
          </w:tcPr>
          <w:p>
            <w:pPr>
              <w:spacing w:line="360" w:lineRule="auto"/>
              <w:jc w:val="center"/>
              <w:rPr>
                <w:rFonts w:eastAsia="仿宋_GB2312"/>
                <w:sz w:val="24"/>
              </w:rPr>
            </w:pPr>
            <w:r>
              <w:rPr>
                <w:rFonts w:eastAsia="仿宋_GB2312"/>
                <w:sz w:val="24"/>
              </w:rPr>
              <w:t>……</w:t>
            </w:r>
          </w:p>
        </w:tc>
        <w:tc>
          <w:tcPr>
            <w:tcW w:w="1398" w:type="dxa"/>
            <w:vAlign w:val="center"/>
          </w:tcPr>
          <w:p>
            <w:pPr>
              <w:spacing w:line="360" w:lineRule="auto"/>
              <w:jc w:val="center"/>
              <w:rPr>
                <w:rFonts w:eastAsia="仿宋_GB2312"/>
                <w:sz w:val="24"/>
              </w:rPr>
            </w:pPr>
            <w:r>
              <w:rPr>
                <w:rFonts w:eastAsia="仿宋_GB2312"/>
                <w:sz w:val="24"/>
              </w:rPr>
              <w:t>……</w:t>
            </w:r>
          </w:p>
        </w:tc>
        <w:tc>
          <w:tcPr>
            <w:tcW w:w="3118" w:type="dxa"/>
            <w:vAlign w:val="center"/>
          </w:tcPr>
          <w:p>
            <w:pPr>
              <w:spacing w:line="360" w:lineRule="auto"/>
              <w:jc w:val="center"/>
              <w:rPr>
                <w:rFonts w:eastAsia="仿宋_GB2312"/>
                <w:sz w:val="24"/>
              </w:rPr>
            </w:pPr>
            <w:r>
              <w:rPr>
                <w:rFonts w:eastAsia="仿宋_GB2312"/>
                <w:sz w:val="24"/>
              </w:rPr>
              <w:t>……</w:t>
            </w:r>
          </w:p>
        </w:tc>
      </w:tr>
      <w:tr>
        <w:trPr>
          <w:trHeight w:val="615" w:hRule="atLeast"/>
          <w:jc w:val="center"/>
        </w:trPr>
        <w:tc>
          <w:tcPr>
            <w:tcW w:w="874" w:type="dxa"/>
            <w:vAlign w:val="center"/>
          </w:tcPr>
          <w:p>
            <w:pPr>
              <w:spacing w:line="480" w:lineRule="auto"/>
              <w:jc w:val="center"/>
              <w:rPr>
                <w:rFonts w:eastAsia="黑体"/>
                <w:sz w:val="24"/>
              </w:rPr>
            </w:pPr>
            <w:r>
              <w:rPr>
                <w:rFonts w:eastAsia="黑体"/>
                <w:sz w:val="24"/>
              </w:rPr>
              <w:t>2</w:t>
            </w:r>
          </w:p>
        </w:tc>
        <w:tc>
          <w:tcPr>
            <w:tcW w:w="2917" w:type="dxa"/>
            <w:vAlign w:val="center"/>
          </w:tcPr>
          <w:p>
            <w:pPr>
              <w:spacing w:line="480" w:lineRule="auto"/>
              <w:jc w:val="center"/>
              <w:rPr>
                <w:rFonts w:eastAsia="仿宋_GB2312"/>
                <w:sz w:val="24"/>
              </w:rPr>
            </w:pPr>
          </w:p>
        </w:tc>
        <w:tc>
          <w:tcPr>
            <w:tcW w:w="1431" w:type="dxa"/>
            <w:vAlign w:val="center"/>
          </w:tcPr>
          <w:p>
            <w:pPr>
              <w:spacing w:line="480" w:lineRule="auto"/>
              <w:jc w:val="center"/>
              <w:rPr>
                <w:rFonts w:eastAsia="仿宋_GB2312"/>
                <w:sz w:val="24"/>
              </w:rPr>
            </w:pPr>
          </w:p>
        </w:tc>
        <w:tc>
          <w:tcPr>
            <w:tcW w:w="1981" w:type="dxa"/>
            <w:vAlign w:val="center"/>
          </w:tcPr>
          <w:p>
            <w:pPr>
              <w:spacing w:line="480" w:lineRule="auto"/>
              <w:jc w:val="center"/>
              <w:rPr>
                <w:rFonts w:eastAsia="仿宋_GB2312"/>
                <w:sz w:val="24"/>
              </w:rPr>
            </w:pPr>
          </w:p>
        </w:tc>
        <w:tc>
          <w:tcPr>
            <w:tcW w:w="2521" w:type="dxa"/>
            <w:vAlign w:val="center"/>
          </w:tcPr>
          <w:p>
            <w:pPr>
              <w:spacing w:line="480" w:lineRule="auto"/>
              <w:jc w:val="center"/>
              <w:rPr>
                <w:rFonts w:eastAsia="仿宋_GB2312"/>
                <w:sz w:val="24"/>
              </w:rPr>
            </w:pPr>
          </w:p>
        </w:tc>
        <w:tc>
          <w:tcPr>
            <w:tcW w:w="1398" w:type="dxa"/>
            <w:vAlign w:val="center"/>
          </w:tcPr>
          <w:p>
            <w:pPr>
              <w:spacing w:line="480" w:lineRule="auto"/>
              <w:jc w:val="center"/>
              <w:rPr>
                <w:rFonts w:eastAsia="仿宋_GB2312"/>
                <w:sz w:val="24"/>
              </w:rPr>
            </w:pPr>
          </w:p>
        </w:tc>
        <w:tc>
          <w:tcPr>
            <w:tcW w:w="3118" w:type="dxa"/>
            <w:vAlign w:val="center"/>
          </w:tcPr>
          <w:p>
            <w:pPr>
              <w:spacing w:line="480" w:lineRule="auto"/>
              <w:jc w:val="center"/>
              <w:rPr>
                <w:rFonts w:eastAsia="仿宋_GB2312"/>
                <w:sz w:val="24"/>
              </w:rPr>
            </w:pPr>
          </w:p>
        </w:tc>
      </w:tr>
      <w:tr>
        <w:trPr>
          <w:trHeight w:val="615" w:hRule="atLeast"/>
          <w:jc w:val="center"/>
        </w:trPr>
        <w:tc>
          <w:tcPr>
            <w:tcW w:w="874" w:type="dxa"/>
            <w:vAlign w:val="center"/>
          </w:tcPr>
          <w:p>
            <w:pPr>
              <w:spacing w:line="480" w:lineRule="auto"/>
              <w:jc w:val="center"/>
              <w:rPr>
                <w:rFonts w:eastAsia="黑体"/>
                <w:sz w:val="24"/>
              </w:rPr>
            </w:pPr>
            <w:r>
              <w:rPr>
                <w:rFonts w:eastAsia="黑体"/>
                <w:sz w:val="24"/>
              </w:rPr>
              <w:t>3</w:t>
            </w:r>
          </w:p>
        </w:tc>
        <w:tc>
          <w:tcPr>
            <w:tcW w:w="2917" w:type="dxa"/>
            <w:vAlign w:val="center"/>
          </w:tcPr>
          <w:p>
            <w:pPr>
              <w:spacing w:line="480" w:lineRule="auto"/>
              <w:jc w:val="center"/>
              <w:rPr>
                <w:rFonts w:eastAsia="仿宋_GB2312"/>
                <w:sz w:val="24"/>
              </w:rPr>
            </w:pPr>
          </w:p>
        </w:tc>
        <w:tc>
          <w:tcPr>
            <w:tcW w:w="1431" w:type="dxa"/>
            <w:vAlign w:val="center"/>
          </w:tcPr>
          <w:p>
            <w:pPr>
              <w:spacing w:line="480" w:lineRule="auto"/>
              <w:jc w:val="center"/>
              <w:rPr>
                <w:rFonts w:eastAsia="仿宋_GB2312"/>
                <w:sz w:val="24"/>
              </w:rPr>
            </w:pPr>
          </w:p>
        </w:tc>
        <w:tc>
          <w:tcPr>
            <w:tcW w:w="1981" w:type="dxa"/>
            <w:vAlign w:val="center"/>
          </w:tcPr>
          <w:p>
            <w:pPr>
              <w:spacing w:line="480" w:lineRule="auto"/>
              <w:jc w:val="center"/>
              <w:rPr>
                <w:rFonts w:eastAsia="仿宋_GB2312"/>
                <w:sz w:val="24"/>
              </w:rPr>
            </w:pPr>
          </w:p>
        </w:tc>
        <w:tc>
          <w:tcPr>
            <w:tcW w:w="2521" w:type="dxa"/>
            <w:vAlign w:val="center"/>
          </w:tcPr>
          <w:p>
            <w:pPr>
              <w:spacing w:line="480" w:lineRule="auto"/>
              <w:jc w:val="center"/>
              <w:rPr>
                <w:rFonts w:eastAsia="仿宋_GB2312"/>
                <w:sz w:val="24"/>
              </w:rPr>
            </w:pPr>
          </w:p>
        </w:tc>
        <w:tc>
          <w:tcPr>
            <w:tcW w:w="1398" w:type="dxa"/>
            <w:vAlign w:val="center"/>
          </w:tcPr>
          <w:p>
            <w:pPr>
              <w:spacing w:line="480" w:lineRule="auto"/>
              <w:jc w:val="center"/>
              <w:rPr>
                <w:rFonts w:eastAsia="仿宋_GB2312"/>
                <w:sz w:val="24"/>
              </w:rPr>
            </w:pPr>
          </w:p>
        </w:tc>
        <w:tc>
          <w:tcPr>
            <w:tcW w:w="3118" w:type="dxa"/>
            <w:vAlign w:val="center"/>
          </w:tcPr>
          <w:p>
            <w:pPr>
              <w:spacing w:line="480" w:lineRule="auto"/>
              <w:jc w:val="center"/>
              <w:rPr>
                <w:rFonts w:eastAsia="仿宋_GB2312"/>
                <w:sz w:val="24"/>
              </w:rPr>
            </w:pPr>
          </w:p>
        </w:tc>
      </w:tr>
      <w:tr>
        <w:trPr>
          <w:trHeight w:val="615" w:hRule="atLeast"/>
          <w:jc w:val="center"/>
        </w:trPr>
        <w:tc>
          <w:tcPr>
            <w:tcW w:w="874" w:type="dxa"/>
            <w:vAlign w:val="center"/>
          </w:tcPr>
          <w:p>
            <w:pPr>
              <w:spacing w:line="480" w:lineRule="auto"/>
              <w:jc w:val="center"/>
              <w:rPr>
                <w:rFonts w:eastAsia="黑体"/>
                <w:sz w:val="24"/>
              </w:rPr>
            </w:pPr>
            <w:r>
              <w:rPr>
                <w:rFonts w:eastAsia="黑体"/>
                <w:sz w:val="24"/>
              </w:rPr>
              <w:t>……</w:t>
            </w:r>
          </w:p>
        </w:tc>
        <w:tc>
          <w:tcPr>
            <w:tcW w:w="2917" w:type="dxa"/>
            <w:vAlign w:val="center"/>
          </w:tcPr>
          <w:p>
            <w:pPr>
              <w:spacing w:line="480" w:lineRule="auto"/>
              <w:jc w:val="center"/>
              <w:rPr>
                <w:rFonts w:eastAsia="仿宋_GB2312"/>
                <w:sz w:val="24"/>
              </w:rPr>
            </w:pPr>
          </w:p>
        </w:tc>
        <w:tc>
          <w:tcPr>
            <w:tcW w:w="1431" w:type="dxa"/>
            <w:vAlign w:val="center"/>
          </w:tcPr>
          <w:p>
            <w:pPr>
              <w:spacing w:line="480" w:lineRule="auto"/>
              <w:jc w:val="center"/>
              <w:rPr>
                <w:rFonts w:eastAsia="仿宋_GB2312"/>
                <w:sz w:val="24"/>
              </w:rPr>
            </w:pPr>
          </w:p>
        </w:tc>
        <w:tc>
          <w:tcPr>
            <w:tcW w:w="1981" w:type="dxa"/>
            <w:vAlign w:val="center"/>
          </w:tcPr>
          <w:p>
            <w:pPr>
              <w:spacing w:line="480" w:lineRule="auto"/>
              <w:jc w:val="center"/>
              <w:rPr>
                <w:rFonts w:eastAsia="仿宋_GB2312"/>
                <w:sz w:val="24"/>
              </w:rPr>
            </w:pPr>
          </w:p>
        </w:tc>
        <w:tc>
          <w:tcPr>
            <w:tcW w:w="2521" w:type="dxa"/>
            <w:vAlign w:val="center"/>
          </w:tcPr>
          <w:p>
            <w:pPr>
              <w:spacing w:line="480" w:lineRule="auto"/>
              <w:jc w:val="center"/>
              <w:rPr>
                <w:rFonts w:eastAsia="仿宋_GB2312"/>
                <w:sz w:val="24"/>
              </w:rPr>
            </w:pPr>
          </w:p>
        </w:tc>
        <w:tc>
          <w:tcPr>
            <w:tcW w:w="1398" w:type="dxa"/>
            <w:vAlign w:val="center"/>
          </w:tcPr>
          <w:p>
            <w:pPr>
              <w:spacing w:line="480" w:lineRule="auto"/>
              <w:jc w:val="center"/>
              <w:rPr>
                <w:rFonts w:eastAsia="仿宋_GB2312"/>
                <w:sz w:val="24"/>
              </w:rPr>
            </w:pPr>
          </w:p>
        </w:tc>
        <w:tc>
          <w:tcPr>
            <w:tcW w:w="3118" w:type="dxa"/>
            <w:vAlign w:val="center"/>
          </w:tcPr>
          <w:p>
            <w:pPr>
              <w:spacing w:line="480" w:lineRule="auto"/>
              <w:jc w:val="center"/>
              <w:rPr>
                <w:rFonts w:eastAsia="仿宋_GB2312"/>
                <w:sz w:val="24"/>
              </w:rPr>
            </w:pPr>
          </w:p>
        </w:tc>
      </w:tr>
    </w:tbl>
    <w:p>
      <w:pPr>
        <w:snapToGrid w:val="0"/>
        <w:spacing w:beforeLines="50"/>
        <w:jc w:val="left"/>
        <w:rPr>
          <w:rFonts w:eastAsia="仿宋_GB2312"/>
          <w:color w:val="000000"/>
          <w:kern w:val="0"/>
          <w:sz w:val="22"/>
        </w:rPr>
      </w:pPr>
      <w:r>
        <w:rPr>
          <w:rFonts w:eastAsia="仿宋_GB2312"/>
          <w:color w:val="000000"/>
          <w:kern w:val="0"/>
          <w:sz w:val="22"/>
        </w:rPr>
        <w:t>备注：一、企业类型（填写编号）：1.食品；2.保健食品。</w:t>
      </w:r>
    </w:p>
    <w:p>
      <w:pPr>
        <w:snapToGrid w:val="0"/>
        <w:ind w:left="708" w:leftChars="337"/>
        <w:jc w:val="left"/>
        <w:rPr>
          <w:rFonts w:eastAsia="仿宋_GB2312"/>
          <w:color w:val="000000"/>
          <w:kern w:val="0"/>
          <w:sz w:val="22"/>
        </w:rPr>
        <w:sectPr>
          <w:pgSz w:w="16838" w:h="11906" w:orient="landscape"/>
          <w:pgMar w:top="1928" w:right="1531" w:bottom="1814" w:left="1531" w:header="851" w:footer="992" w:gutter="0"/>
          <w:cols w:space="425" w:num="1"/>
          <w:docGrid w:linePitch="312"/>
        </w:sectPr>
      </w:pPr>
      <w:r>
        <w:rPr>
          <w:rFonts w:eastAsia="仿宋_GB2312"/>
          <w:color w:val="000000"/>
          <w:kern w:val="0"/>
          <w:sz w:val="22"/>
        </w:rPr>
        <w:t>二、问题类型（填写编号）：1.未经许可生产经营食品和保健食品行为；2.食品和保健食品标签虚假标识声称行为;3.利用网络、会议营销、电视购物、直销、电话营销等方式违法营销宣传、欺诈销售食品和保健食品行为；4.未经审查发布保健食品广告以及发布虚假违法食品、保健食品广告行为；5.其他涉及食品、保健食品欺诈和虚假宣传等违法违规行为。</w:t>
      </w:r>
    </w:p>
    <w:p>
      <w:pPr>
        <w:rPr>
          <w:rFonts w:ascii="黑体" w:hAnsi="黑体" w:eastAsia="黑体"/>
          <w:sz w:val="32"/>
          <w:szCs w:val="32"/>
        </w:rPr>
      </w:pPr>
      <w:r>
        <w:rPr>
          <w:rFonts w:ascii="黑体" w:hAnsi="黑体" w:eastAsia="黑体"/>
          <w:sz w:val="32"/>
          <w:szCs w:val="32"/>
        </w:rPr>
        <w:t>附件6</w:t>
      </w:r>
    </w:p>
    <w:p>
      <w:pPr>
        <w:spacing w:line="240" w:lineRule="exact"/>
        <w:jc w:val="center"/>
        <w:rPr>
          <w:rFonts w:eastAsia="方正小标宋简体"/>
          <w:bCs/>
          <w:color w:val="000000"/>
          <w:kern w:val="0"/>
          <w:sz w:val="44"/>
          <w:szCs w:val="44"/>
        </w:rPr>
      </w:pPr>
    </w:p>
    <w:p>
      <w:pPr>
        <w:widowControl/>
        <w:jc w:val="center"/>
        <w:rPr>
          <w:rFonts w:eastAsia="方正小标宋简体"/>
          <w:bCs/>
          <w:color w:val="000000"/>
          <w:kern w:val="0"/>
          <w:sz w:val="44"/>
          <w:szCs w:val="44"/>
        </w:rPr>
      </w:pPr>
      <w:r>
        <w:rPr>
          <w:rFonts w:eastAsia="方正小标宋简体"/>
          <w:bCs/>
          <w:color w:val="000000"/>
          <w:kern w:val="0"/>
          <w:sz w:val="44"/>
          <w:szCs w:val="44"/>
        </w:rPr>
        <w:t>食品、保健食品欺诈和虚假宣传整治案件查办情况统计报表</w:t>
      </w:r>
    </w:p>
    <w:p>
      <w:pPr>
        <w:widowControl/>
        <w:snapToGrid w:val="0"/>
        <w:jc w:val="center"/>
        <w:rPr>
          <w:rFonts w:eastAsia="仿宋_GB2312"/>
          <w:bCs/>
          <w:color w:val="000000"/>
          <w:kern w:val="0"/>
          <w:sz w:val="28"/>
          <w:szCs w:val="28"/>
        </w:rPr>
      </w:pPr>
      <w:r>
        <w:rPr>
          <w:rFonts w:eastAsia="仿宋_GB2312"/>
          <w:bCs/>
          <w:color w:val="000000"/>
          <w:kern w:val="0"/>
          <w:sz w:val="28"/>
          <w:szCs w:val="28"/>
        </w:rPr>
        <w:t>（统计时间段：</w:t>
      </w:r>
      <w:r>
        <w:rPr>
          <w:rFonts w:hint="eastAsia" w:eastAsia="仿宋_GB2312"/>
          <w:bCs/>
          <w:color w:val="000000"/>
          <w:kern w:val="0"/>
          <w:sz w:val="28"/>
          <w:szCs w:val="28"/>
        </w:rPr>
        <w:t xml:space="preserve">    </w:t>
      </w:r>
      <w:r>
        <w:rPr>
          <w:rFonts w:eastAsia="仿宋_GB2312"/>
          <w:bCs/>
          <w:color w:val="000000"/>
          <w:kern w:val="0"/>
          <w:sz w:val="28"/>
          <w:szCs w:val="28"/>
        </w:rPr>
        <w:t>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    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w:t>
      </w:r>
    </w:p>
    <w:p>
      <w:pPr>
        <w:widowControl/>
        <w:snapToGrid w:val="0"/>
        <w:jc w:val="center"/>
        <w:rPr>
          <w:rFonts w:eastAsia="仿宋_GB2312"/>
          <w:bCs/>
          <w:color w:val="000000"/>
          <w:kern w:val="0"/>
          <w:sz w:val="28"/>
          <w:szCs w:val="28"/>
        </w:rPr>
      </w:pPr>
    </w:p>
    <w:p>
      <w:pPr>
        <w:rPr>
          <w:rFonts w:eastAsia="仿宋_GB2312"/>
          <w:color w:val="000000"/>
          <w:kern w:val="0"/>
          <w:sz w:val="24"/>
        </w:rPr>
      </w:pPr>
      <w:r>
        <w:rPr>
          <w:rFonts w:eastAsia="仿宋_GB2312"/>
          <w:bCs/>
          <w:color w:val="000000"/>
          <w:kern w:val="0"/>
          <w:sz w:val="28"/>
          <w:szCs w:val="30"/>
        </w:rPr>
        <w:t>填报单位（公章）：</w:t>
      </w:r>
      <w:r>
        <w:rPr>
          <w:rFonts w:hint="eastAsia" w:eastAsia="仿宋_GB2312"/>
          <w:bCs/>
          <w:color w:val="000000"/>
          <w:kern w:val="0"/>
          <w:sz w:val="28"/>
          <w:szCs w:val="30"/>
        </w:rPr>
        <w:t xml:space="preserve">                      </w:t>
      </w:r>
      <w:r>
        <w:rPr>
          <w:rFonts w:eastAsia="仿宋_GB2312"/>
          <w:bCs/>
          <w:color w:val="000000"/>
          <w:kern w:val="0"/>
          <w:sz w:val="28"/>
          <w:szCs w:val="30"/>
        </w:rPr>
        <w:t>填报人：</w:t>
      </w:r>
      <w:r>
        <w:rPr>
          <w:rFonts w:hint="eastAsia" w:eastAsia="仿宋_GB2312"/>
          <w:bCs/>
          <w:color w:val="000000"/>
          <w:kern w:val="0"/>
          <w:sz w:val="28"/>
          <w:szCs w:val="30"/>
        </w:rPr>
        <w:t xml:space="preserve">           </w:t>
      </w:r>
      <w:r>
        <w:rPr>
          <w:rFonts w:eastAsia="仿宋_GB2312"/>
          <w:bCs/>
          <w:color w:val="000000"/>
          <w:kern w:val="0"/>
          <w:sz w:val="28"/>
          <w:szCs w:val="30"/>
        </w:rPr>
        <w:t>联系方式：</w:t>
      </w:r>
      <w:r>
        <w:rPr>
          <w:rFonts w:hint="eastAsia" w:eastAsia="仿宋_GB2312"/>
          <w:bCs/>
          <w:color w:val="000000"/>
          <w:kern w:val="0"/>
          <w:sz w:val="28"/>
          <w:szCs w:val="30"/>
        </w:rPr>
        <w:t xml:space="preserve">      </w:t>
      </w:r>
      <w:r>
        <w:rPr>
          <w:rFonts w:eastAsia="仿宋_GB2312"/>
          <w:bCs/>
          <w:color w:val="000000"/>
          <w:kern w:val="0"/>
          <w:sz w:val="28"/>
          <w:szCs w:val="30"/>
        </w:rPr>
        <w:t>报送日期：</w:t>
      </w:r>
      <w:r>
        <w:rPr>
          <w:rFonts w:hint="eastAsia" w:eastAsia="仿宋_GB2312"/>
          <w:bCs/>
          <w:color w:val="000000"/>
          <w:kern w:val="0"/>
          <w:sz w:val="28"/>
          <w:szCs w:val="30"/>
        </w:rPr>
        <w:t xml:space="preserve">    </w:t>
      </w:r>
      <w:r>
        <w:rPr>
          <w:rFonts w:eastAsia="仿宋_GB2312"/>
          <w:bCs/>
          <w:color w:val="000000"/>
          <w:kern w:val="0"/>
          <w:sz w:val="28"/>
          <w:szCs w:val="30"/>
        </w:rPr>
        <w:t>年</w:t>
      </w:r>
      <w:r>
        <w:rPr>
          <w:rFonts w:hint="eastAsia" w:eastAsia="仿宋_GB2312"/>
          <w:bCs/>
          <w:color w:val="000000"/>
          <w:kern w:val="0"/>
          <w:sz w:val="28"/>
          <w:szCs w:val="30"/>
        </w:rPr>
        <w:t xml:space="preserve">  </w:t>
      </w:r>
      <w:r>
        <w:rPr>
          <w:rFonts w:eastAsia="仿宋_GB2312"/>
          <w:bCs/>
          <w:color w:val="000000"/>
          <w:kern w:val="0"/>
          <w:sz w:val="28"/>
          <w:szCs w:val="30"/>
        </w:rPr>
        <w:t>月</w:t>
      </w:r>
      <w:r>
        <w:rPr>
          <w:rFonts w:hint="eastAsia" w:eastAsia="仿宋_GB2312"/>
          <w:bCs/>
          <w:color w:val="000000"/>
          <w:kern w:val="0"/>
          <w:sz w:val="28"/>
          <w:szCs w:val="30"/>
        </w:rPr>
        <w:t xml:space="preserve">  </w:t>
      </w:r>
      <w:r>
        <w:rPr>
          <w:rFonts w:eastAsia="仿宋_GB2312"/>
          <w:bCs/>
          <w:color w:val="000000"/>
          <w:kern w:val="0"/>
          <w:sz w:val="28"/>
          <w:szCs w:val="30"/>
        </w:rPr>
        <w:t>日</w:t>
      </w:r>
    </w:p>
    <w:tbl>
      <w:tblPr>
        <w:tblW w:w="14268" w:type="dxa"/>
        <w:jc w:val="center"/>
        <w:tblInd w:w="-1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18"/>
        <w:gridCol w:w="3697"/>
        <w:gridCol w:w="1608"/>
        <w:gridCol w:w="1609"/>
        <w:gridCol w:w="1609"/>
        <w:gridCol w:w="1609"/>
        <w:gridCol w:w="1609"/>
        <w:gridCol w:w="1609"/>
      </w:tblGrid>
      <w:tr>
        <w:trPr>
          <w:trHeight w:val="538" w:hRule="atLeast"/>
          <w:jc w:val="center"/>
        </w:trPr>
        <w:tc>
          <w:tcPr>
            <w:tcW w:w="9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序号</w:t>
            </w:r>
          </w:p>
        </w:tc>
        <w:tc>
          <w:tcPr>
            <w:tcW w:w="36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类别</w:t>
            </w:r>
          </w:p>
        </w:tc>
        <w:tc>
          <w:tcPr>
            <w:tcW w:w="3217" w:type="dxa"/>
            <w:gridSpan w:val="2"/>
            <w:tcBorders>
              <w:top w:val="single" w:color="auto" w:sz="4" w:space="0"/>
              <w:left w:val="nil"/>
              <w:bottom w:val="nil"/>
              <w:right w:val="single" w:color="000000" w:sz="4" w:space="0"/>
            </w:tcBorders>
            <w:vAlign w:val="center"/>
          </w:tcPr>
          <w:p>
            <w:pPr>
              <w:widowControl/>
              <w:jc w:val="center"/>
              <w:rPr>
                <w:rFonts w:eastAsia="黑体"/>
                <w:color w:val="000000"/>
                <w:kern w:val="0"/>
                <w:sz w:val="24"/>
              </w:rPr>
            </w:pPr>
            <w:r>
              <w:rPr>
                <w:rFonts w:eastAsia="黑体"/>
                <w:color w:val="000000"/>
                <w:kern w:val="0"/>
                <w:sz w:val="24"/>
              </w:rPr>
              <w:t>食品</w:t>
            </w:r>
          </w:p>
        </w:tc>
        <w:tc>
          <w:tcPr>
            <w:tcW w:w="3218" w:type="dxa"/>
            <w:gridSpan w:val="2"/>
            <w:tcBorders>
              <w:top w:val="single" w:color="auto" w:sz="4" w:space="0"/>
              <w:left w:val="nil"/>
              <w:bottom w:val="nil"/>
              <w:right w:val="single" w:color="000000" w:sz="4" w:space="0"/>
            </w:tcBorders>
            <w:vAlign w:val="center"/>
          </w:tcPr>
          <w:p>
            <w:pPr>
              <w:widowControl/>
              <w:jc w:val="center"/>
              <w:rPr>
                <w:rFonts w:eastAsia="黑体"/>
                <w:color w:val="000000"/>
                <w:kern w:val="0"/>
                <w:sz w:val="24"/>
              </w:rPr>
            </w:pPr>
            <w:r>
              <w:rPr>
                <w:rFonts w:eastAsia="黑体"/>
                <w:color w:val="000000"/>
                <w:kern w:val="0"/>
                <w:sz w:val="24"/>
              </w:rPr>
              <w:t>保健食品</w:t>
            </w:r>
          </w:p>
        </w:tc>
        <w:tc>
          <w:tcPr>
            <w:tcW w:w="3218" w:type="dxa"/>
            <w:gridSpan w:val="2"/>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总计</w:t>
            </w:r>
          </w:p>
        </w:tc>
      </w:tr>
      <w:tr>
        <w:trPr>
          <w:trHeight w:val="469" w:hRule="atLeast"/>
          <w:jc w:val="center"/>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kern w:val="0"/>
                <w:sz w:val="24"/>
              </w:rPr>
            </w:pPr>
          </w:p>
        </w:tc>
        <w:tc>
          <w:tcPr>
            <w:tcW w:w="3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kern w:val="0"/>
                <w:sz w:val="24"/>
              </w:rPr>
            </w:pPr>
          </w:p>
        </w:tc>
        <w:tc>
          <w:tcPr>
            <w:tcW w:w="1608"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上期末累计</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本期新增</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上期末累计</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本期新增</w:t>
            </w:r>
          </w:p>
        </w:tc>
        <w:tc>
          <w:tcPr>
            <w:tcW w:w="1609" w:type="dxa"/>
            <w:tcBorders>
              <w:top w:val="nil"/>
              <w:left w:val="nil"/>
              <w:bottom w:val="nil"/>
              <w:right w:val="single" w:color="auto" w:sz="4" w:space="0"/>
            </w:tcBorders>
            <w:vAlign w:val="center"/>
          </w:tcPr>
          <w:p>
            <w:pPr>
              <w:widowControl/>
              <w:jc w:val="left"/>
              <w:rPr>
                <w:rFonts w:eastAsia="黑体"/>
                <w:color w:val="000000"/>
                <w:kern w:val="0"/>
                <w:sz w:val="24"/>
              </w:rPr>
            </w:pPr>
            <w:r>
              <w:rPr>
                <w:rFonts w:eastAsia="黑体"/>
                <w:color w:val="000000"/>
                <w:kern w:val="0"/>
                <w:sz w:val="24"/>
              </w:rPr>
              <w:t>上期末累计</w:t>
            </w:r>
          </w:p>
        </w:tc>
        <w:tc>
          <w:tcPr>
            <w:tcW w:w="1609" w:type="dxa"/>
            <w:tcBorders>
              <w:top w:val="nil"/>
              <w:left w:val="nil"/>
              <w:bottom w:val="nil"/>
              <w:right w:val="single" w:color="auto" w:sz="4" w:space="0"/>
            </w:tcBorders>
            <w:vAlign w:val="center"/>
          </w:tcPr>
          <w:p>
            <w:pPr>
              <w:widowControl/>
              <w:jc w:val="left"/>
              <w:rPr>
                <w:rFonts w:eastAsia="黑体"/>
                <w:color w:val="000000"/>
                <w:kern w:val="0"/>
                <w:sz w:val="24"/>
              </w:rPr>
            </w:pPr>
            <w:r>
              <w:rPr>
                <w:rFonts w:eastAsia="黑体"/>
                <w:color w:val="000000"/>
                <w:kern w:val="0"/>
                <w:sz w:val="24"/>
              </w:rPr>
              <w:t>本期新增</w:t>
            </w:r>
          </w:p>
        </w:tc>
      </w:tr>
      <w:tr>
        <w:trPr>
          <w:trHeight w:val="59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1</w:t>
            </w:r>
          </w:p>
        </w:tc>
        <w:tc>
          <w:tcPr>
            <w:tcW w:w="3697"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立案数（件）</w:t>
            </w:r>
          </w:p>
        </w:tc>
        <w:tc>
          <w:tcPr>
            <w:tcW w:w="160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r>
      <w:tr>
        <w:trPr>
          <w:trHeight w:val="605" w:hRule="atLeast"/>
          <w:jc w:val="center"/>
        </w:trPr>
        <w:tc>
          <w:tcPr>
            <w:tcW w:w="918" w:type="dxa"/>
            <w:tcBorders>
              <w:top w:val="nil"/>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2</w:t>
            </w:r>
          </w:p>
        </w:tc>
        <w:tc>
          <w:tcPr>
            <w:tcW w:w="3697"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已办结案件数（件）</w:t>
            </w:r>
          </w:p>
        </w:tc>
        <w:tc>
          <w:tcPr>
            <w:tcW w:w="160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r>
      <w:tr>
        <w:trPr>
          <w:trHeight w:val="557" w:hRule="atLeast"/>
          <w:jc w:val="center"/>
        </w:trPr>
        <w:tc>
          <w:tcPr>
            <w:tcW w:w="918" w:type="dxa"/>
            <w:tcBorders>
              <w:top w:val="nil"/>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3</w:t>
            </w:r>
          </w:p>
        </w:tc>
        <w:tc>
          <w:tcPr>
            <w:tcW w:w="3697"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移送公安机关案件数（件）</w:t>
            </w:r>
          </w:p>
        </w:tc>
        <w:tc>
          <w:tcPr>
            <w:tcW w:w="160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r>
      <w:tr>
        <w:trPr>
          <w:trHeight w:val="550" w:hRule="atLeast"/>
          <w:jc w:val="center"/>
        </w:trPr>
        <w:tc>
          <w:tcPr>
            <w:tcW w:w="918" w:type="dxa"/>
            <w:tcBorders>
              <w:top w:val="nil"/>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4</w:t>
            </w:r>
          </w:p>
        </w:tc>
        <w:tc>
          <w:tcPr>
            <w:tcW w:w="3697"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公安机关立案数（件）</w:t>
            </w:r>
          </w:p>
        </w:tc>
        <w:tc>
          <w:tcPr>
            <w:tcW w:w="160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160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r>
      <w:tr>
        <w:trPr>
          <w:trHeight w:val="572" w:hRule="atLeast"/>
          <w:jc w:val="center"/>
        </w:trPr>
        <w:tc>
          <w:tcPr>
            <w:tcW w:w="918" w:type="dxa"/>
            <w:tcBorders>
              <w:top w:val="nil"/>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5</w:t>
            </w:r>
          </w:p>
        </w:tc>
        <w:tc>
          <w:tcPr>
            <w:tcW w:w="3697"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累计货值金额（万元）</w:t>
            </w:r>
          </w:p>
        </w:tc>
        <w:tc>
          <w:tcPr>
            <w:tcW w:w="321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321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321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w:t>
            </w:r>
          </w:p>
        </w:tc>
      </w:tr>
      <w:tr>
        <w:trPr>
          <w:trHeight w:val="553" w:hRule="atLeast"/>
          <w:jc w:val="center"/>
        </w:trPr>
        <w:tc>
          <w:tcPr>
            <w:tcW w:w="918" w:type="dxa"/>
            <w:tcBorders>
              <w:top w:val="nil"/>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6</w:t>
            </w:r>
          </w:p>
        </w:tc>
        <w:tc>
          <w:tcPr>
            <w:tcW w:w="3697"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累计罚款金额（万元）</w:t>
            </w:r>
          </w:p>
        </w:tc>
        <w:tc>
          <w:tcPr>
            <w:tcW w:w="321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321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321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w:t>
            </w:r>
          </w:p>
        </w:tc>
      </w:tr>
      <w:tr>
        <w:trPr>
          <w:trHeight w:val="547" w:hRule="atLeast"/>
          <w:jc w:val="center"/>
        </w:trPr>
        <w:tc>
          <w:tcPr>
            <w:tcW w:w="918" w:type="dxa"/>
            <w:tcBorders>
              <w:top w:val="nil"/>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7</w:t>
            </w:r>
          </w:p>
        </w:tc>
        <w:tc>
          <w:tcPr>
            <w:tcW w:w="3697"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累计吊销许可证数（件）</w:t>
            </w:r>
          </w:p>
        </w:tc>
        <w:tc>
          <w:tcPr>
            <w:tcW w:w="321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321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321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w:t>
            </w:r>
          </w:p>
        </w:tc>
      </w:tr>
    </w:tbl>
    <w:p>
      <w:pPr>
        <w:spacing w:beforeLines="50"/>
        <w:jc w:val="left"/>
        <w:rPr>
          <w:rFonts w:eastAsia="仿宋_GB2312"/>
          <w:sz w:val="24"/>
        </w:rPr>
        <w:sectPr>
          <w:pgSz w:w="16838" w:h="11906" w:orient="landscape"/>
          <w:pgMar w:top="1928" w:right="1531" w:bottom="1814" w:left="1531" w:header="851" w:footer="992" w:gutter="0"/>
          <w:cols w:space="425" w:num="1"/>
          <w:docGrid w:linePitch="312"/>
        </w:sectPr>
      </w:pPr>
      <w:r>
        <w:rPr>
          <w:rFonts w:eastAsia="仿宋_GB2312"/>
          <w:sz w:val="24"/>
        </w:rPr>
        <w:t>备注：此表所统计的数据均为与整治行动相关的违法案件数据。</w:t>
      </w:r>
    </w:p>
    <w:p>
      <w:pPr>
        <w:rPr>
          <w:rFonts w:ascii="黑体" w:hAnsi="黑体" w:eastAsia="黑体"/>
          <w:bCs/>
          <w:color w:val="000000"/>
          <w:kern w:val="0"/>
          <w:sz w:val="44"/>
          <w:szCs w:val="44"/>
        </w:rPr>
      </w:pPr>
      <w:r>
        <w:rPr>
          <w:rFonts w:ascii="黑体" w:hAnsi="黑体" w:eastAsia="黑体"/>
          <w:sz w:val="32"/>
          <w:szCs w:val="32"/>
        </w:rPr>
        <w:t>附件7</w:t>
      </w:r>
    </w:p>
    <w:p>
      <w:pPr>
        <w:widowControl/>
        <w:jc w:val="center"/>
        <w:rPr>
          <w:rFonts w:eastAsia="方正小标宋简体"/>
          <w:bCs/>
          <w:color w:val="000000"/>
          <w:kern w:val="0"/>
          <w:sz w:val="44"/>
          <w:szCs w:val="44"/>
        </w:rPr>
      </w:pPr>
      <w:r>
        <w:rPr>
          <w:rFonts w:eastAsia="方正小标宋简体"/>
          <w:bCs/>
          <w:color w:val="000000"/>
          <w:kern w:val="0"/>
          <w:sz w:val="44"/>
          <w:szCs w:val="44"/>
        </w:rPr>
        <w:t>食品、保健食品欺诈和虚假宣传整治重大案件台账</w:t>
      </w:r>
    </w:p>
    <w:p>
      <w:pPr>
        <w:widowControl/>
        <w:snapToGrid w:val="0"/>
        <w:jc w:val="center"/>
        <w:rPr>
          <w:rFonts w:eastAsia="仿宋_GB2312"/>
          <w:bCs/>
          <w:color w:val="000000"/>
          <w:kern w:val="0"/>
          <w:sz w:val="28"/>
          <w:szCs w:val="28"/>
        </w:rPr>
      </w:pPr>
      <w:r>
        <w:rPr>
          <w:rFonts w:eastAsia="仿宋_GB2312"/>
          <w:bCs/>
          <w:color w:val="000000"/>
          <w:kern w:val="0"/>
          <w:sz w:val="28"/>
          <w:szCs w:val="28"/>
        </w:rPr>
        <w:t>（统计时间段：</w:t>
      </w:r>
      <w:r>
        <w:rPr>
          <w:rFonts w:hint="eastAsia" w:eastAsia="仿宋_GB2312"/>
          <w:bCs/>
          <w:color w:val="000000"/>
          <w:kern w:val="0"/>
          <w:sz w:val="28"/>
          <w:szCs w:val="28"/>
        </w:rPr>
        <w:t xml:space="preserve">    </w:t>
      </w:r>
      <w:r>
        <w:rPr>
          <w:rFonts w:eastAsia="仿宋_GB2312"/>
          <w:bCs/>
          <w:color w:val="000000"/>
          <w:kern w:val="0"/>
          <w:sz w:val="28"/>
          <w:szCs w:val="28"/>
        </w:rPr>
        <w:t>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    年</w:t>
      </w:r>
      <w:r>
        <w:rPr>
          <w:rFonts w:hint="eastAsia" w:eastAsia="仿宋_GB2312"/>
          <w:bCs/>
          <w:color w:val="000000"/>
          <w:kern w:val="0"/>
          <w:sz w:val="28"/>
          <w:szCs w:val="28"/>
        </w:rPr>
        <w:t xml:space="preserve">  </w:t>
      </w:r>
      <w:r>
        <w:rPr>
          <w:rFonts w:eastAsia="仿宋_GB2312"/>
          <w:bCs/>
          <w:color w:val="000000"/>
          <w:kern w:val="0"/>
          <w:sz w:val="28"/>
          <w:szCs w:val="28"/>
        </w:rPr>
        <w:t>月</w:t>
      </w:r>
      <w:r>
        <w:rPr>
          <w:rFonts w:hint="eastAsia" w:eastAsia="仿宋_GB2312"/>
          <w:bCs/>
          <w:color w:val="000000"/>
          <w:kern w:val="0"/>
          <w:sz w:val="28"/>
          <w:szCs w:val="28"/>
        </w:rPr>
        <w:t xml:space="preserve">  </w:t>
      </w:r>
      <w:r>
        <w:rPr>
          <w:rFonts w:eastAsia="仿宋_GB2312"/>
          <w:bCs/>
          <w:color w:val="000000"/>
          <w:kern w:val="0"/>
          <w:sz w:val="28"/>
          <w:szCs w:val="28"/>
        </w:rPr>
        <w:t>日）</w:t>
      </w:r>
    </w:p>
    <w:p>
      <w:pPr>
        <w:widowControl/>
        <w:snapToGrid w:val="0"/>
        <w:jc w:val="center"/>
        <w:rPr>
          <w:rFonts w:eastAsia="仿宋_GB2312"/>
          <w:bCs/>
          <w:color w:val="000000"/>
          <w:kern w:val="0"/>
          <w:sz w:val="28"/>
          <w:szCs w:val="28"/>
        </w:rPr>
      </w:pPr>
    </w:p>
    <w:p>
      <w:pPr>
        <w:jc w:val="left"/>
        <w:rPr>
          <w:rFonts w:eastAsia="仿宋_GB2312"/>
          <w:bCs/>
          <w:color w:val="000000"/>
          <w:kern w:val="0"/>
          <w:sz w:val="28"/>
          <w:szCs w:val="30"/>
        </w:rPr>
      </w:pPr>
      <w:r>
        <w:rPr>
          <w:rFonts w:eastAsia="仿宋_GB2312"/>
          <w:bCs/>
          <w:color w:val="000000"/>
          <w:kern w:val="0"/>
          <w:sz w:val="28"/>
          <w:szCs w:val="30"/>
        </w:rPr>
        <w:t>填报单位（公章）：</w:t>
      </w:r>
      <w:r>
        <w:rPr>
          <w:rFonts w:hint="eastAsia" w:eastAsia="仿宋_GB2312"/>
          <w:bCs/>
          <w:color w:val="000000"/>
          <w:kern w:val="0"/>
          <w:sz w:val="28"/>
          <w:szCs w:val="30"/>
        </w:rPr>
        <w:t xml:space="preserve">                        </w:t>
      </w:r>
      <w:r>
        <w:rPr>
          <w:rFonts w:eastAsia="仿宋_GB2312"/>
          <w:bCs/>
          <w:color w:val="000000"/>
          <w:kern w:val="0"/>
          <w:sz w:val="28"/>
          <w:szCs w:val="30"/>
        </w:rPr>
        <w:t>填报人：</w:t>
      </w:r>
      <w:r>
        <w:rPr>
          <w:rFonts w:hint="eastAsia" w:eastAsia="仿宋_GB2312"/>
          <w:bCs/>
          <w:color w:val="000000"/>
          <w:kern w:val="0"/>
          <w:sz w:val="28"/>
          <w:szCs w:val="30"/>
        </w:rPr>
        <w:t xml:space="preserve">         </w:t>
      </w:r>
      <w:r>
        <w:rPr>
          <w:rFonts w:eastAsia="仿宋_GB2312"/>
          <w:bCs/>
          <w:color w:val="000000"/>
          <w:kern w:val="0"/>
          <w:sz w:val="28"/>
          <w:szCs w:val="30"/>
        </w:rPr>
        <w:t>联系方式：</w:t>
      </w:r>
      <w:r>
        <w:rPr>
          <w:rFonts w:hint="eastAsia" w:eastAsia="仿宋_GB2312"/>
          <w:bCs/>
          <w:color w:val="000000"/>
          <w:kern w:val="0"/>
          <w:sz w:val="28"/>
          <w:szCs w:val="30"/>
        </w:rPr>
        <w:t xml:space="preserve">     </w:t>
      </w:r>
      <w:r>
        <w:rPr>
          <w:rFonts w:eastAsia="仿宋_GB2312"/>
          <w:bCs/>
          <w:color w:val="000000"/>
          <w:kern w:val="0"/>
          <w:sz w:val="28"/>
          <w:szCs w:val="30"/>
        </w:rPr>
        <w:t>报送日期：</w:t>
      </w:r>
      <w:r>
        <w:rPr>
          <w:rFonts w:hint="eastAsia" w:eastAsia="仿宋_GB2312"/>
          <w:bCs/>
          <w:color w:val="000000"/>
          <w:kern w:val="0"/>
          <w:sz w:val="28"/>
          <w:szCs w:val="30"/>
        </w:rPr>
        <w:t xml:space="preserve">    </w:t>
      </w:r>
      <w:r>
        <w:rPr>
          <w:rFonts w:eastAsia="仿宋_GB2312"/>
          <w:bCs/>
          <w:color w:val="000000"/>
          <w:kern w:val="0"/>
          <w:sz w:val="28"/>
          <w:szCs w:val="30"/>
        </w:rPr>
        <w:t>年</w:t>
      </w:r>
      <w:r>
        <w:rPr>
          <w:rFonts w:hint="eastAsia" w:eastAsia="仿宋_GB2312"/>
          <w:bCs/>
          <w:color w:val="000000"/>
          <w:kern w:val="0"/>
          <w:sz w:val="28"/>
          <w:szCs w:val="30"/>
        </w:rPr>
        <w:t xml:space="preserve">  </w:t>
      </w:r>
      <w:r>
        <w:rPr>
          <w:rFonts w:eastAsia="仿宋_GB2312"/>
          <w:bCs/>
          <w:color w:val="000000"/>
          <w:kern w:val="0"/>
          <w:sz w:val="28"/>
          <w:szCs w:val="30"/>
        </w:rPr>
        <w:t>月</w:t>
      </w:r>
      <w:r>
        <w:rPr>
          <w:rFonts w:hint="eastAsia" w:eastAsia="仿宋_GB2312"/>
          <w:bCs/>
          <w:color w:val="000000"/>
          <w:kern w:val="0"/>
          <w:sz w:val="28"/>
          <w:szCs w:val="30"/>
        </w:rPr>
        <w:t xml:space="preserve">  </w:t>
      </w:r>
      <w:r>
        <w:rPr>
          <w:rFonts w:eastAsia="仿宋_GB2312"/>
          <w:bCs/>
          <w:color w:val="000000"/>
          <w:kern w:val="0"/>
          <w:sz w:val="28"/>
          <w:szCs w:val="30"/>
        </w:rPr>
        <w:t>日</w:t>
      </w:r>
    </w:p>
    <w:tbl>
      <w:tblPr>
        <w:tblW w:w="14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68"/>
        <w:gridCol w:w="2634"/>
        <w:gridCol w:w="2634"/>
        <w:gridCol w:w="2634"/>
        <w:gridCol w:w="2634"/>
        <w:gridCol w:w="2635"/>
      </w:tblGrid>
      <w:tr>
        <w:trPr>
          <w:trHeight w:val="846"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序号</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案件名称</w:t>
            </w:r>
          </w:p>
        </w:tc>
        <w:tc>
          <w:tcPr>
            <w:tcW w:w="2634"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查办单位</w:t>
            </w:r>
          </w:p>
        </w:tc>
        <w:tc>
          <w:tcPr>
            <w:tcW w:w="2634"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案件性质</w:t>
            </w:r>
          </w:p>
        </w:tc>
        <w:tc>
          <w:tcPr>
            <w:tcW w:w="2634"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案情简介</w:t>
            </w:r>
          </w:p>
        </w:tc>
        <w:tc>
          <w:tcPr>
            <w:tcW w:w="2635"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查办进度</w:t>
            </w:r>
          </w:p>
        </w:tc>
      </w:tr>
      <w:tr>
        <w:trPr>
          <w:trHeight w:val="863"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000000"/>
                <w:kern w:val="0"/>
                <w:sz w:val="24"/>
              </w:rPr>
            </w:pPr>
            <w:r>
              <w:rPr>
                <w:rFonts w:eastAsia="黑体"/>
                <w:color w:val="000000"/>
                <w:kern w:val="0"/>
                <w:sz w:val="24"/>
              </w:rPr>
              <w:t>1</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5"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r>
      <w:tr>
        <w:trPr>
          <w:trHeight w:val="83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000000"/>
                <w:kern w:val="0"/>
                <w:sz w:val="24"/>
              </w:rPr>
            </w:pPr>
            <w:r>
              <w:rPr>
                <w:rFonts w:eastAsia="黑体"/>
                <w:color w:val="000000"/>
                <w:kern w:val="0"/>
                <w:sz w:val="24"/>
              </w:rPr>
              <w:t>2</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5"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r>
      <w:tr>
        <w:trPr>
          <w:trHeight w:val="863"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000000"/>
                <w:kern w:val="0"/>
                <w:sz w:val="24"/>
              </w:rPr>
            </w:pPr>
            <w:r>
              <w:rPr>
                <w:rFonts w:eastAsia="黑体"/>
                <w:color w:val="000000"/>
                <w:kern w:val="0"/>
                <w:sz w:val="24"/>
              </w:rPr>
              <w:t>3</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5"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r>
      <w:tr>
        <w:trPr>
          <w:trHeight w:val="899"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000000"/>
                <w:kern w:val="0"/>
                <w:sz w:val="24"/>
              </w:rPr>
            </w:pPr>
            <w:r>
              <w:rPr>
                <w:rFonts w:eastAsia="黑体"/>
                <w:color w:val="000000"/>
                <w:kern w:val="0"/>
                <w:sz w:val="24"/>
              </w:rPr>
              <w:t>……</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4"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635"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r>
    </w:tbl>
    <w:p>
      <w:pPr>
        <w:spacing w:beforeLines="50"/>
        <w:ind w:left="-141" w:leftChars="-67"/>
        <w:jc w:val="left"/>
        <w:rPr>
          <w:rFonts w:eastAsia="仿宋_GB2312"/>
          <w:sz w:val="24"/>
        </w:rPr>
      </w:pPr>
      <w:r>
        <w:rPr>
          <w:rFonts w:eastAsia="仿宋_GB2312"/>
          <w:sz w:val="24"/>
        </w:rPr>
        <w:t>备注：案件性质填写：1.移送公安机关案件；2.联合公安机关查办案件；3. 涉案货值金额50万元以上且涉及2个以上省份的案件。</w:t>
      </w:r>
    </w:p>
    <w:p>
      <w:pPr>
        <w:spacing w:beforeLines="50"/>
        <w:ind w:left="-141" w:leftChars="-67" w:firstLine="720" w:firstLineChars="300"/>
        <w:jc w:val="left"/>
        <w:rPr>
          <w:rFonts w:eastAsia="仿宋_GB2312"/>
          <w:sz w:val="24"/>
        </w:rPr>
        <w:sectPr>
          <w:pgSz w:w="16838" w:h="11906" w:orient="landscape"/>
          <w:pgMar w:top="1928" w:right="1531" w:bottom="1814" w:left="1531" w:header="851" w:footer="1247" w:gutter="0"/>
          <w:cols w:space="425" w:num="1"/>
          <w:docGrid w:linePitch="312"/>
        </w:sectPr>
      </w:pPr>
      <w:r>
        <w:rPr>
          <w:rFonts w:eastAsia="仿宋_GB2312"/>
          <w:sz w:val="24"/>
        </w:rPr>
        <w:t>填报时应根据案件实际情况填写，可同时选择此三个选项。</w:t>
      </w:r>
    </w:p>
    <w:p>
      <w:pPr>
        <w:rPr>
          <w:rFonts w:ascii="黑体" w:hAnsi="黑体" w:eastAsia="黑体"/>
          <w:sz w:val="32"/>
          <w:szCs w:val="32"/>
        </w:rPr>
      </w:pPr>
      <w:r>
        <w:rPr>
          <w:rFonts w:ascii="黑体" w:hAnsi="黑体" w:eastAsia="黑体"/>
          <w:sz w:val="32"/>
          <w:szCs w:val="32"/>
        </w:rPr>
        <w:t>附件8</w:t>
      </w:r>
    </w:p>
    <w:p>
      <w:pPr>
        <w:rPr>
          <w:rFonts w:ascii="黑体" w:hAnsi="黑体" w:eastAsia="黑体"/>
          <w:bCs/>
          <w:color w:val="000000"/>
          <w:kern w:val="0"/>
          <w:sz w:val="44"/>
          <w:szCs w:val="44"/>
        </w:rPr>
      </w:pPr>
    </w:p>
    <w:p>
      <w:pPr>
        <w:jc w:val="center"/>
        <w:rPr>
          <w:rFonts w:eastAsia="方正小标宋简体"/>
          <w:bCs/>
          <w:color w:val="000000"/>
          <w:kern w:val="0"/>
          <w:sz w:val="44"/>
          <w:szCs w:val="44"/>
        </w:rPr>
      </w:pPr>
      <w:r>
        <w:rPr>
          <w:rFonts w:eastAsia="方正小标宋简体"/>
          <w:bCs/>
          <w:color w:val="000000"/>
          <w:kern w:val="0"/>
          <w:sz w:val="44"/>
          <w:szCs w:val="44"/>
        </w:rPr>
        <w:t>食品、保健食品欺诈和虚假宣传整治工作联络员信息表</w:t>
      </w:r>
    </w:p>
    <w:p>
      <w:pPr>
        <w:jc w:val="center"/>
        <w:rPr>
          <w:rFonts w:eastAsia="方正小标宋简体"/>
          <w:bCs/>
          <w:color w:val="000000"/>
          <w:kern w:val="0"/>
          <w:sz w:val="44"/>
          <w:szCs w:val="44"/>
        </w:rPr>
      </w:pPr>
    </w:p>
    <w:p>
      <w:pPr>
        <w:jc w:val="left"/>
        <w:rPr>
          <w:rFonts w:eastAsia="仿宋_GB2312"/>
          <w:bCs/>
          <w:color w:val="000000"/>
          <w:kern w:val="0"/>
          <w:sz w:val="28"/>
          <w:szCs w:val="30"/>
        </w:rPr>
      </w:pPr>
      <w:r>
        <w:rPr>
          <w:rFonts w:eastAsia="仿宋_GB2312"/>
          <w:bCs/>
          <w:color w:val="000000"/>
          <w:kern w:val="0"/>
          <w:sz w:val="28"/>
          <w:szCs w:val="30"/>
        </w:rPr>
        <w:t>填报单位（公章）：</w:t>
      </w:r>
      <w:r>
        <w:rPr>
          <w:rFonts w:hint="eastAsia" w:eastAsia="仿宋_GB2312"/>
          <w:bCs/>
          <w:color w:val="000000"/>
          <w:kern w:val="0"/>
          <w:sz w:val="28"/>
          <w:szCs w:val="30"/>
        </w:rPr>
        <w:t xml:space="preserve">                  </w:t>
      </w:r>
      <w:r>
        <w:rPr>
          <w:rFonts w:eastAsia="仿宋_GB2312"/>
          <w:bCs/>
          <w:color w:val="000000"/>
          <w:kern w:val="0"/>
          <w:sz w:val="28"/>
          <w:szCs w:val="30"/>
        </w:rPr>
        <w:t>填报人：</w:t>
      </w:r>
      <w:r>
        <w:rPr>
          <w:rFonts w:hint="eastAsia" w:eastAsia="仿宋_GB2312"/>
          <w:bCs/>
          <w:color w:val="000000"/>
          <w:kern w:val="0"/>
          <w:sz w:val="28"/>
          <w:szCs w:val="30"/>
        </w:rPr>
        <w:t xml:space="preserve">        </w:t>
      </w:r>
      <w:r>
        <w:rPr>
          <w:rFonts w:eastAsia="仿宋_GB2312"/>
          <w:bCs/>
          <w:color w:val="000000"/>
          <w:kern w:val="0"/>
          <w:sz w:val="28"/>
          <w:szCs w:val="30"/>
        </w:rPr>
        <w:t>联系方式：</w:t>
      </w:r>
      <w:r>
        <w:rPr>
          <w:rFonts w:hint="eastAsia" w:eastAsia="仿宋_GB2312"/>
          <w:bCs/>
          <w:color w:val="000000"/>
          <w:kern w:val="0"/>
          <w:sz w:val="28"/>
          <w:szCs w:val="30"/>
        </w:rPr>
        <w:t xml:space="preserve">            </w:t>
      </w:r>
      <w:r>
        <w:rPr>
          <w:rFonts w:eastAsia="仿宋_GB2312"/>
          <w:bCs/>
          <w:color w:val="000000"/>
          <w:kern w:val="0"/>
          <w:sz w:val="28"/>
          <w:szCs w:val="30"/>
        </w:rPr>
        <w:t>报送日期：</w:t>
      </w:r>
      <w:r>
        <w:rPr>
          <w:rFonts w:hint="eastAsia" w:eastAsia="仿宋_GB2312"/>
          <w:bCs/>
          <w:color w:val="000000"/>
          <w:kern w:val="0"/>
          <w:sz w:val="28"/>
          <w:szCs w:val="30"/>
        </w:rPr>
        <w:t xml:space="preserve">    </w:t>
      </w:r>
      <w:r>
        <w:rPr>
          <w:rFonts w:eastAsia="仿宋_GB2312"/>
          <w:bCs/>
          <w:color w:val="000000"/>
          <w:kern w:val="0"/>
          <w:sz w:val="28"/>
          <w:szCs w:val="30"/>
        </w:rPr>
        <w:t>年</w:t>
      </w:r>
      <w:r>
        <w:rPr>
          <w:rFonts w:hint="eastAsia" w:eastAsia="仿宋_GB2312"/>
          <w:bCs/>
          <w:color w:val="000000"/>
          <w:kern w:val="0"/>
          <w:sz w:val="28"/>
          <w:szCs w:val="30"/>
        </w:rPr>
        <w:t xml:space="preserve">  </w:t>
      </w:r>
      <w:r>
        <w:rPr>
          <w:rFonts w:eastAsia="仿宋_GB2312"/>
          <w:bCs/>
          <w:color w:val="000000"/>
          <w:kern w:val="0"/>
          <w:sz w:val="28"/>
          <w:szCs w:val="30"/>
        </w:rPr>
        <w:t>月</w:t>
      </w:r>
      <w:r>
        <w:rPr>
          <w:rFonts w:hint="eastAsia" w:eastAsia="仿宋_GB2312"/>
          <w:bCs/>
          <w:color w:val="000000"/>
          <w:kern w:val="0"/>
          <w:sz w:val="28"/>
          <w:szCs w:val="30"/>
        </w:rPr>
        <w:t xml:space="preserve">  </w:t>
      </w:r>
      <w:r>
        <w:rPr>
          <w:rFonts w:eastAsia="仿宋_GB2312"/>
          <w:bCs/>
          <w:color w:val="000000"/>
          <w:kern w:val="0"/>
          <w:sz w:val="28"/>
          <w:szCs w:val="30"/>
        </w:rPr>
        <w:t>日</w:t>
      </w:r>
    </w:p>
    <w:tbl>
      <w:tblPr>
        <w:tblW w:w="14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86"/>
        <w:gridCol w:w="2262"/>
        <w:gridCol w:w="2262"/>
        <w:gridCol w:w="2263"/>
        <w:gridCol w:w="2262"/>
        <w:gridCol w:w="2262"/>
        <w:gridCol w:w="2263"/>
      </w:tblGrid>
      <w:tr>
        <w:trPr>
          <w:trHeight w:val="70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序号</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任务分工</w:t>
            </w:r>
          </w:p>
        </w:tc>
        <w:tc>
          <w:tcPr>
            <w:tcW w:w="2262"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姓名</w:t>
            </w:r>
          </w:p>
        </w:tc>
        <w:tc>
          <w:tcPr>
            <w:tcW w:w="2263"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处室和职务</w:t>
            </w:r>
          </w:p>
        </w:tc>
        <w:tc>
          <w:tcPr>
            <w:tcW w:w="2262"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办公电话</w:t>
            </w:r>
          </w:p>
        </w:tc>
        <w:tc>
          <w:tcPr>
            <w:tcW w:w="2262"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手机</w:t>
            </w:r>
          </w:p>
        </w:tc>
        <w:tc>
          <w:tcPr>
            <w:tcW w:w="2263"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24"/>
              </w:rPr>
            </w:pPr>
            <w:r>
              <w:rPr>
                <w:rFonts w:eastAsia="黑体"/>
                <w:color w:val="000000"/>
                <w:kern w:val="0"/>
                <w:sz w:val="24"/>
              </w:rPr>
              <w:t>备注</w:t>
            </w:r>
          </w:p>
        </w:tc>
      </w:tr>
      <w:tr>
        <w:trPr>
          <w:trHeight w:val="80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000000"/>
                <w:kern w:val="0"/>
                <w:sz w:val="24"/>
              </w:rPr>
            </w:pPr>
            <w:r>
              <w:rPr>
                <w:rFonts w:eastAsia="黑体"/>
                <w:color w:val="000000"/>
                <w:kern w:val="0"/>
                <w:sz w:val="24"/>
              </w:rPr>
              <w:t>1</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生产环节月报表和</w:t>
            </w:r>
          </w:p>
          <w:p>
            <w:pPr>
              <w:widowControl/>
              <w:jc w:val="center"/>
              <w:rPr>
                <w:rFonts w:eastAsia="仿宋_GB2312"/>
                <w:color w:val="000000"/>
                <w:kern w:val="0"/>
                <w:sz w:val="24"/>
              </w:rPr>
            </w:pPr>
            <w:r>
              <w:rPr>
                <w:rFonts w:eastAsia="仿宋_GB2312"/>
                <w:color w:val="000000"/>
                <w:kern w:val="0"/>
                <w:sz w:val="24"/>
              </w:rPr>
              <w:t>台账报送</w:t>
            </w: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r>
      <w:tr>
        <w:trPr>
          <w:trHeight w:val="83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000000"/>
                <w:kern w:val="0"/>
                <w:sz w:val="24"/>
              </w:rPr>
            </w:pPr>
            <w:r>
              <w:rPr>
                <w:rFonts w:eastAsia="黑体"/>
                <w:color w:val="000000"/>
                <w:kern w:val="0"/>
                <w:sz w:val="24"/>
              </w:rPr>
              <w:t>2</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经营环节月报表和</w:t>
            </w:r>
          </w:p>
          <w:p>
            <w:pPr>
              <w:widowControl/>
              <w:jc w:val="center"/>
              <w:rPr>
                <w:rFonts w:eastAsia="仿宋_GB2312"/>
                <w:color w:val="000000"/>
                <w:kern w:val="0"/>
                <w:sz w:val="24"/>
              </w:rPr>
            </w:pPr>
            <w:r>
              <w:rPr>
                <w:rFonts w:eastAsia="仿宋_GB2312"/>
                <w:color w:val="000000"/>
                <w:kern w:val="0"/>
                <w:sz w:val="24"/>
              </w:rPr>
              <w:t>台账报送</w:t>
            </w: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r>
      <w:tr>
        <w:trPr>
          <w:trHeight w:val="87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000000"/>
                <w:kern w:val="0"/>
                <w:sz w:val="24"/>
              </w:rPr>
            </w:pPr>
            <w:r>
              <w:rPr>
                <w:rFonts w:eastAsia="黑体"/>
                <w:color w:val="000000"/>
                <w:kern w:val="0"/>
                <w:sz w:val="24"/>
              </w:rPr>
              <w:t>3</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案件查办月报表和</w:t>
            </w:r>
          </w:p>
          <w:p>
            <w:pPr>
              <w:widowControl/>
              <w:jc w:val="center"/>
              <w:rPr>
                <w:rFonts w:eastAsia="仿宋_GB2312"/>
                <w:color w:val="000000"/>
                <w:kern w:val="0"/>
                <w:sz w:val="24"/>
              </w:rPr>
            </w:pPr>
            <w:r>
              <w:rPr>
                <w:rFonts w:eastAsia="仿宋_GB2312"/>
                <w:color w:val="000000"/>
                <w:kern w:val="0"/>
                <w:sz w:val="24"/>
              </w:rPr>
              <w:t>台账报送</w:t>
            </w: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24"/>
              </w:rPr>
            </w:pPr>
          </w:p>
        </w:tc>
      </w:tr>
      <w:bookmarkEnd w:id="1"/>
    </w:tbl>
    <w:p>
      <w:pPr>
        <w:snapToGrid w:val="0"/>
        <w:spacing w:line="560" w:lineRule="exact"/>
        <w:rPr>
          <w:rFonts w:eastAsia="仿宋_GB2312"/>
          <w:sz w:val="28"/>
          <w:szCs w:val="28"/>
        </w:rPr>
      </w:pPr>
    </w:p>
    <w:sectPr>
      <w:footerReference r:id="rId6" w:type="default"/>
      <w:pgSz w:w="16838" w:h="11906" w:orient="landscape"/>
      <w:pgMar w:top="1928" w:right="1531" w:bottom="1814" w:left="1531" w:header="851" w:footer="1247" w:gutter="0"/>
      <w:cols w:space="425"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r>
      <w:rPr>
        <w:rFonts w:hint="eastAsia"/>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8"/>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customStyle="1" w:styleId="5">
    <w:name w:val="Default"/>
    <w:uiPriority w:val="0"/>
    <w:pPr>
      <w:widowControl w:val="0"/>
      <w:autoSpaceDE w:val="0"/>
      <w:autoSpaceDN w:val="0"/>
      <w:adjustRightInd w:val="0"/>
    </w:pPr>
    <w:rPr>
      <w:rFonts w:ascii="Times New Roman" w:hAnsi="Times New Roman" w:eastAsia="宋体" w:cs="Times New Roman"/>
      <w:color w:val="000000"/>
      <w:kern w:val="0"/>
      <w:sz w:val="24"/>
      <w:szCs w:val="24"/>
    </w:rPr>
  </w:style>
  <w:style w:type="paragraph" w:customStyle="1" w:styleId="6">
    <w:name w:val="黑体三号空2格"/>
    <w:basedOn w:val="1"/>
    <w:link w:val="9"/>
    <w:qFormat/>
    <w:uiPriority w:val="0"/>
    <w:pPr>
      <w:adjustRightInd w:val="0"/>
      <w:snapToGrid w:val="0"/>
      <w:spacing w:line="680" w:lineRule="exact"/>
      <w:ind w:firstLine="640" w:firstLineChars="200"/>
    </w:pPr>
    <w:rPr>
      <w:rFonts w:ascii="黑体" w:hAnsi="黑体" w:eastAsia="黑体" w:cs="黑体"/>
      <w:sz w:val="32"/>
      <w:szCs w:val="32"/>
    </w:rPr>
  </w:style>
  <w:style w:type="character" w:customStyle="1" w:styleId="7">
    <w:name w:val="页眉 Char Char"/>
    <w:basedOn w:val="4"/>
    <w:link w:val="3"/>
    <w:uiPriority w:val="99"/>
    <w:rPr>
      <w:sz w:val="18"/>
      <w:szCs w:val="18"/>
    </w:rPr>
  </w:style>
  <w:style w:type="character" w:customStyle="1" w:styleId="8">
    <w:name w:val="页脚 Char Char"/>
    <w:basedOn w:val="4"/>
    <w:link w:val="2"/>
    <w:uiPriority w:val="99"/>
    <w:rPr>
      <w:sz w:val="18"/>
      <w:szCs w:val="18"/>
    </w:rPr>
  </w:style>
  <w:style w:type="character" w:customStyle="1" w:styleId="9">
    <w:name w:val="黑体三号空2格 Char Char"/>
    <w:link w:val="6"/>
    <w:locked/>
    <w:uiPriority w:val="0"/>
    <w:rPr>
      <w:rFonts w:ascii="黑体" w:hAnsi="黑体" w:eastAsia="黑体"/>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28</Pages>
  <Words>1804</Words>
  <Characters>10286</Characters>
  <Lines>85</Lines>
  <Paragraphs>24</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2017-11-13T02:42:00Z</dcterms:created>
  <dc:creator>王兴龙</dc:creator>
  <cp:lastModifiedBy>goveditor</cp:lastModifiedBy>
  <dcterms:modified xsi:type="dcterms:W3CDTF">2017-11-13T03:11:59Z</dcterms:modified>
  <dc:title>食品药品监管总局食品、保健食品欺诈和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