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napToGrid w:val="0"/>
        <w:spacing w:before="0" w:beforeAutospacing="0" w:after="0" w:afterAutospacing="0" w:line="640" w:lineRule="exact"/>
        <w:jc w:val="center"/>
        <w:rPr>
          <w:rFonts w:ascii="方正小标宋简体" w:hAnsi="仿宋" w:eastAsia="方正小标宋简体" w:cs="Times New Roman"/>
          <w:color w:val="000000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</w:rPr>
        <w:t>关于进口药品注册审评审批有关事项的公告</w:t>
      </w:r>
    </w:p>
    <w:p>
      <w:pPr>
        <w:pStyle w:val="4"/>
        <w:snapToGrid w:val="0"/>
        <w:spacing w:before="0" w:beforeAutospacing="0" w:after="0" w:afterAutospacing="0" w:line="640" w:lineRule="exact"/>
        <w:jc w:val="center"/>
        <w:rPr>
          <w:rFonts w:ascii="楷体_GB2312" w:hAnsi="仿宋" w:eastAsia="楷体_GB2312" w:cs="Times New Roman"/>
          <w:color w:val="000000"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color w:val="000000"/>
          <w:kern w:val="2"/>
          <w:sz w:val="32"/>
          <w:szCs w:val="32"/>
        </w:rPr>
        <w:t>（征求意见稿）</w:t>
      </w:r>
    </w:p>
    <w:p>
      <w:pPr>
        <w:pStyle w:val="4"/>
        <w:spacing w:before="0" w:beforeAutospacing="0" w:after="0" w:afterAutospacing="0" w:line="600" w:lineRule="exact"/>
        <w:ind w:firstLine="88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44"/>
          <w:szCs w:val="44"/>
        </w:rPr>
      </w:pP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依据中共中央办公厅、国务院办公厅《关于深化审评审批制度改革鼓励药品医疗器械创新的意见》（</w:t>
      </w:r>
      <w:r>
        <w:rPr>
          <w:rFonts w:eastAsia="仿宋_GB2312"/>
          <w:color w:val="000000"/>
          <w:sz w:val="32"/>
          <w:szCs w:val="32"/>
        </w:rPr>
        <w:t>厅</w:t>
      </w:r>
      <w:r>
        <w:rPr>
          <w:rFonts w:eastAsia="仿宋_GB2312"/>
          <w:sz w:val="32"/>
          <w:szCs w:val="32"/>
        </w:rPr>
        <w:t>字〔2017〕42号）</w:t>
      </w:r>
      <w:r>
        <w:rPr>
          <w:rFonts w:eastAsia="仿宋_GB2312"/>
          <w:color w:val="000000"/>
          <w:sz w:val="32"/>
          <w:szCs w:val="32"/>
        </w:rPr>
        <w:t>，优化审评审批程序，提高进口药品再注册申请审评审批质量与效率，</w:t>
      </w:r>
      <w:r>
        <w:rPr>
          <w:rFonts w:eastAsia="仿宋_GB2312"/>
          <w:sz w:val="32"/>
        </w:rPr>
        <w:t>国家食品药品监督管理总局</w:t>
      </w:r>
      <w:r>
        <w:rPr>
          <w:rFonts w:eastAsia="仿宋_GB2312"/>
          <w:color w:val="000000"/>
          <w:sz w:val="32"/>
          <w:szCs w:val="32"/>
        </w:rPr>
        <w:t>决定取消进口药品再注册核档程序，并</w:t>
      </w:r>
      <w:r>
        <w:rPr>
          <w:rFonts w:eastAsia="仿宋_GB2312"/>
          <w:sz w:val="32"/>
        </w:rPr>
        <w:t>针对《进口药品注册证》《医药产品注册证》实施新的编号模式。现将有关事项公告如下：</w:t>
      </w:r>
    </w:p>
    <w:p>
      <w:pPr>
        <w:pStyle w:val="4"/>
        <w:spacing w:before="0" w:beforeAutospacing="0" w:after="0" w:afterAutospacing="0" w:line="61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一、本公告发布之日起，进口药品再注册申请受理后，全部资料转交国家食品药品监督管理总局药品审评中心审评审批。</w:t>
      </w:r>
    </w:p>
    <w:p>
      <w:pPr>
        <w:pStyle w:val="4"/>
        <w:spacing w:before="0" w:beforeAutospacing="0" w:after="0" w:afterAutospacing="0" w:line="61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二、已受理的进口药品再注册申请，包括进口再注册核档意见为无需质量标准复核的注册申请，统一转入国家食品药品监督管理总局药品审评中心进行审评审批。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color w:val="000000"/>
          <w:sz w:val="32"/>
          <w:szCs w:val="32"/>
        </w:rPr>
        <w:t>三、《进口药</w:t>
      </w:r>
      <w:r>
        <w:rPr>
          <w:rFonts w:eastAsia="仿宋_GB2312"/>
          <w:sz w:val="32"/>
        </w:rPr>
        <w:t>品注册证》《医药产品注册证》实施新的编号模式：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一）进口药品再注册批准后，原注册证收回注销，核发新的《进口药品注册证》或《医药产品注册证》（以下简称核发新证）。其注册证号保持原注册证号，不再重新编号，注册证有效期为自批准之日起5年有效。每个注册证</w:t>
      </w:r>
      <w:r>
        <w:rPr>
          <w:rFonts w:eastAsia="仿宋_GB2312"/>
          <w:color w:val="000000"/>
          <w:sz w:val="32"/>
        </w:rPr>
        <w:t>仅</w:t>
      </w:r>
      <w:r>
        <w:rPr>
          <w:rFonts w:eastAsia="仿宋_GB2312"/>
          <w:sz w:val="32"/>
        </w:rPr>
        <w:t>收载1个规格，并最多收载2个包装规格。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（二）进口药品分包装用大包装再注册批准后，原注册证收回注销，核发新证。其注册证号保持原注册证号，不再重新编号，注册证有效期与小包装规格的注册证有效期相同。并在备注</w:t>
      </w:r>
      <w:r>
        <w:rPr>
          <w:rFonts w:eastAsia="仿宋_GB2312"/>
          <w:color w:val="000000"/>
          <w:sz w:val="32"/>
        </w:rPr>
        <w:t>项</w:t>
      </w:r>
      <w:r>
        <w:rPr>
          <w:rFonts w:eastAsia="仿宋_GB2312"/>
          <w:sz w:val="32"/>
        </w:rPr>
        <w:t>注明专供国内药品生产企业分包装用的内容。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（三）改变产地（实际地址变更）的补充申请批准后，原注册证收回注销，核发新证。其注册证号保持原注册证号，不再重新编号，注册证有效期为自批准之日起5年有效。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（四）对于增加规格的补充申请批准后，核发新证。其注册证号按批准时所在年份的顺序重新编号，注册证有效期限仍为原注册证的有效期。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（五）对于增加包装规格和分包装用大包装规格的补充申请批准后，核发新证。其注册证号按批准时所在年份的顺序重新编号，注册证有效期限仍为原包装规格注册证的有效期。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六）变更公司和生产厂名称、地址名称（生产厂实际生产地址不变）、变更包装规格以及变更药品名称等的补充申请批准后，原注册证收回注销，核发新证。其注册证号保持原注册证号，不再重新编号，注册证有效期限仍为原注册证的有效期。</w:t>
      </w:r>
    </w:p>
    <w:p>
      <w:pPr>
        <w:spacing w:line="61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（七）其他由国家食品药品监督管理总局审批的补充申请事项，一律以《药品补充申请批件》的形式批准，不核发新证。</w:t>
      </w: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（八）进口药品在中国国内分包装的补充申请（非首次申请）批准后，以《药品补充申请批件》的形式批准，药品批准文号保持原药品批准文号。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四、对本公告中未涉及的事项，仍按照现有规定执行。</w:t>
      </w:r>
    </w:p>
    <w:sectPr>
      <w:footerReference r:id="rId4" w:type="default"/>
      <w:footerReference r:id="rId5" w:type="even"/>
      <w:pgSz w:w="11906" w:h="16838"/>
      <w:pgMar w:top="1928" w:right="1531" w:bottom="1814" w:left="1531" w:header="851" w:footer="1247" w:gutter="0"/>
      <w:cols w:space="425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 Char"/>
    <w:basedOn w:val="5"/>
    <w:link w:val="3"/>
    <w:uiPriority w:val="99"/>
    <w:rPr>
      <w:sz w:val="18"/>
      <w:szCs w:val="18"/>
    </w:rPr>
  </w:style>
  <w:style w:type="character" w:customStyle="1" w:styleId="8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CFDA</Company>
  <Pages>3</Pages>
  <Words>154</Words>
  <Characters>884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2018-02-13T02:13:00Z</dcterms:created>
  <dc:creator>鲁樱</dc:creator>
  <cp:lastModifiedBy>goveditor</cp:lastModifiedBy>
  <dcterms:modified xsi:type="dcterms:W3CDTF">2018-02-13T02:55:02Z</dcterms:modified>
  <dc:title>关于进口药品注册审评审批有关事项的公告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