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eastAsia="方正小标宋简体"/>
          <w:color w:val="auto"/>
          <w:kern w:val="0"/>
          <w:sz w:val="44"/>
          <w:szCs w:val="44"/>
        </w:rPr>
      </w:pPr>
      <w:r>
        <w:rPr>
          <w:rFonts w:hint="eastAsia" w:ascii="方正小标宋简体" w:eastAsia="方正小标宋简体"/>
          <w:color w:val="auto"/>
          <w:kern w:val="0"/>
          <w:sz w:val="44"/>
          <w:szCs w:val="44"/>
        </w:rPr>
        <w:t>鲍德强同志环境执法大练兵先进个人事迹材料</w:t>
      </w:r>
    </w:p>
    <w:p>
      <w:pPr>
        <w:spacing w:line="560" w:lineRule="exact"/>
        <w:ind w:firstLine="640" w:firstLineChars="200"/>
        <w:rPr>
          <w:rFonts w:ascii="仿宋_GB2312" w:eastAsia="仿宋_GB2312"/>
          <w:color w:val="auto"/>
          <w:sz w:val="32"/>
          <w:szCs w:val="32"/>
        </w:rPr>
      </w:pPr>
    </w:p>
    <w:p>
      <w:pPr>
        <w:spacing w:line="560" w:lineRule="exact"/>
        <w:ind w:firstLine="640" w:firstLineChars="200"/>
        <w:rPr>
          <w:rFonts w:ascii="仿宋_GB2312" w:hAnsi="华文仿宋" w:eastAsia="仿宋_GB2312" w:cs="仿宋_GB2312"/>
          <w:color w:val="auto"/>
          <w:kern w:val="0"/>
          <w:sz w:val="32"/>
          <w:szCs w:val="32"/>
        </w:rPr>
      </w:pPr>
      <w:r>
        <w:rPr>
          <w:rFonts w:hint="eastAsia" w:ascii="仿宋_GB2312" w:hAnsi="华文仿宋" w:eastAsia="仿宋_GB2312" w:cs="仿宋_GB2312"/>
          <w:color w:val="auto"/>
          <w:kern w:val="0"/>
          <w:sz w:val="32"/>
          <w:szCs w:val="32"/>
        </w:rPr>
        <w:t>鲍德强，男，</w:t>
      </w:r>
      <w:r>
        <w:rPr>
          <w:rFonts w:ascii="仿宋_GB2312" w:hAnsi="华文仿宋" w:eastAsia="仿宋_GB2312" w:cs="仿宋_GB2312"/>
          <w:color w:val="auto"/>
          <w:kern w:val="0"/>
          <w:sz w:val="32"/>
          <w:szCs w:val="32"/>
        </w:rPr>
        <w:t>1975</w:t>
      </w:r>
      <w:r>
        <w:rPr>
          <w:rFonts w:hint="eastAsia" w:ascii="仿宋_GB2312" w:hAnsi="华文仿宋" w:eastAsia="仿宋_GB2312" w:cs="仿宋_GB2312"/>
          <w:color w:val="auto"/>
          <w:kern w:val="0"/>
          <w:sz w:val="32"/>
          <w:szCs w:val="32"/>
        </w:rPr>
        <w:t>年</w:t>
      </w:r>
      <w:r>
        <w:rPr>
          <w:rFonts w:ascii="仿宋_GB2312" w:hAnsi="华文仿宋" w:eastAsia="仿宋_GB2312" w:cs="仿宋_GB2312"/>
          <w:color w:val="auto"/>
          <w:kern w:val="0"/>
          <w:sz w:val="32"/>
          <w:szCs w:val="32"/>
        </w:rPr>
        <w:t>3</w:t>
      </w:r>
      <w:r>
        <w:rPr>
          <w:rFonts w:hint="eastAsia" w:ascii="仿宋_GB2312" w:hAnsi="华文仿宋" w:eastAsia="仿宋_GB2312" w:cs="仿宋_GB2312"/>
          <w:color w:val="auto"/>
          <w:kern w:val="0"/>
          <w:sz w:val="32"/>
          <w:szCs w:val="32"/>
        </w:rPr>
        <w:t>月生，主持青岛市环境保护局黄岛分局监察大队三中队工作，以环保大练兵为契机，紧紧围绕改善环境质量、确保环境安全、服务科学发展工作目标，坚定政治立场，提升业务能力，面对辖区面积大、企业多、信访投诉量大等情况，攻坚克难，解放思想，创新工作方法，奋力破解各类环保难题，圆满完成了各项工作任务，为守卫群众碧海蓝天的优美生态环境作出了突出的贡献。</w:t>
      </w:r>
      <w:r>
        <w:rPr>
          <w:rFonts w:ascii="仿宋_GB2312" w:hAnsi="华文仿宋" w:eastAsia="仿宋_GB2312" w:cs="仿宋_GB2312"/>
          <w:color w:val="auto"/>
          <w:kern w:val="0"/>
          <w:sz w:val="32"/>
          <w:szCs w:val="32"/>
        </w:rPr>
        <w:t>2018</w:t>
      </w:r>
      <w:r>
        <w:rPr>
          <w:rFonts w:hint="eastAsia" w:ascii="仿宋_GB2312" w:hAnsi="华文仿宋" w:eastAsia="仿宋_GB2312" w:cs="仿宋_GB2312"/>
          <w:color w:val="auto"/>
          <w:kern w:val="0"/>
          <w:sz w:val="32"/>
          <w:szCs w:val="32"/>
        </w:rPr>
        <w:t>年以来办理各类案件</w:t>
      </w:r>
      <w:r>
        <w:rPr>
          <w:rFonts w:ascii="仿宋_GB2312" w:hAnsi="华文仿宋" w:eastAsia="仿宋_GB2312" w:cs="仿宋_GB2312"/>
          <w:color w:val="auto"/>
          <w:kern w:val="0"/>
          <w:sz w:val="32"/>
          <w:szCs w:val="32"/>
        </w:rPr>
        <w:t>34</w:t>
      </w:r>
      <w:r>
        <w:rPr>
          <w:rFonts w:hint="eastAsia" w:ascii="仿宋_GB2312" w:hAnsi="华文仿宋" w:eastAsia="仿宋_GB2312" w:cs="仿宋_GB2312"/>
          <w:color w:val="auto"/>
          <w:kern w:val="0"/>
          <w:sz w:val="32"/>
          <w:szCs w:val="32"/>
        </w:rPr>
        <w:t>余起，罚款</w:t>
      </w:r>
      <w:r>
        <w:rPr>
          <w:rFonts w:ascii="仿宋_GB2312" w:hAnsi="华文仿宋" w:eastAsia="仿宋_GB2312" w:cs="仿宋_GB2312"/>
          <w:color w:val="auto"/>
          <w:kern w:val="0"/>
          <w:sz w:val="32"/>
          <w:szCs w:val="32"/>
        </w:rPr>
        <w:t>200</w:t>
      </w:r>
      <w:r>
        <w:rPr>
          <w:rFonts w:hint="eastAsia" w:ascii="仿宋_GB2312" w:hAnsi="华文仿宋" w:eastAsia="仿宋_GB2312" w:cs="仿宋_GB2312"/>
          <w:color w:val="auto"/>
          <w:kern w:val="0"/>
          <w:sz w:val="32"/>
          <w:szCs w:val="32"/>
        </w:rPr>
        <w:t>余万元，行政拘留</w:t>
      </w:r>
      <w:r>
        <w:rPr>
          <w:rFonts w:ascii="仿宋_GB2312" w:hAnsi="华文仿宋" w:eastAsia="仿宋_GB2312" w:cs="仿宋_GB2312"/>
          <w:color w:val="auto"/>
          <w:kern w:val="0"/>
          <w:sz w:val="32"/>
          <w:szCs w:val="32"/>
        </w:rPr>
        <w:t>2</w:t>
      </w:r>
      <w:r>
        <w:rPr>
          <w:rFonts w:hint="eastAsia" w:ascii="仿宋_GB2312" w:hAnsi="华文仿宋" w:eastAsia="仿宋_GB2312" w:cs="仿宋_GB2312"/>
          <w:color w:val="auto"/>
          <w:kern w:val="0"/>
          <w:sz w:val="32"/>
          <w:szCs w:val="32"/>
        </w:rPr>
        <w:t>人。</w:t>
      </w:r>
    </w:p>
    <w:p>
      <w:pPr>
        <w:spacing w:line="560" w:lineRule="exact"/>
        <w:ind w:firstLine="640" w:firstLineChars="200"/>
        <w:rPr>
          <w:rFonts w:ascii="黑体" w:hAnsi="黑体" w:eastAsia="黑体" w:cs="仿宋_GB2312"/>
          <w:color w:val="auto"/>
          <w:kern w:val="0"/>
          <w:sz w:val="32"/>
          <w:szCs w:val="32"/>
        </w:rPr>
      </w:pPr>
      <w:r>
        <w:rPr>
          <w:rFonts w:hint="eastAsia" w:ascii="黑体" w:hAnsi="黑体" w:eastAsia="黑体" w:cs="仿宋_GB2312"/>
          <w:color w:val="auto"/>
          <w:kern w:val="0"/>
          <w:sz w:val="32"/>
          <w:szCs w:val="32"/>
        </w:rPr>
        <w:t>一、突出民生，严控信访</w:t>
      </w:r>
    </w:p>
    <w:p>
      <w:pPr>
        <w:spacing w:line="560" w:lineRule="exact"/>
        <w:ind w:firstLine="640" w:firstLineChars="200"/>
        <w:rPr>
          <w:rFonts w:ascii="仿宋_GB2312" w:hAnsi="华文仿宋" w:eastAsia="仿宋_GB2312" w:cs="仿宋_GB2312"/>
          <w:color w:val="auto"/>
          <w:kern w:val="0"/>
          <w:sz w:val="32"/>
          <w:szCs w:val="32"/>
        </w:rPr>
      </w:pPr>
      <w:r>
        <w:rPr>
          <w:rFonts w:hint="eastAsia" w:ascii="仿宋_GB2312" w:hAnsi="华文仿宋" w:eastAsia="仿宋_GB2312" w:cs="仿宋_GB2312"/>
          <w:color w:val="auto"/>
          <w:kern w:val="0"/>
          <w:sz w:val="32"/>
          <w:szCs w:val="32"/>
        </w:rPr>
        <w:t>“群众对环境的诉求，就是行动的指令；群众的满意，就是最高的标准”。管辖区域常驻人口数量大、污染企业情况复杂，历年来信访数量居高不下。为降低信访数量，组织对历年信访件进行梳理，一是对信访高发区域组织力量加大管控力度，信访率大幅下降；二是创新开展中队包案信访责任制，确定重复信访件责任人，组织骨干力量集中经理解决群众在环境方面的难点问题。重复信访舆情基本得到解决。</w:t>
      </w:r>
    </w:p>
    <w:p>
      <w:pPr>
        <w:spacing w:line="560" w:lineRule="exact"/>
        <w:ind w:firstLine="640" w:firstLineChars="200"/>
        <w:rPr>
          <w:rFonts w:ascii="黑体" w:hAnsi="黑体" w:eastAsia="黑体" w:cs="仿宋_GB2312"/>
          <w:color w:val="auto"/>
          <w:kern w:val="0"/>
          <w:sz w:val="32"/>
          <w:szCs w:val="32"/>
        </w:rPr>
      </w:pPr>
      <w:r>
        <w:rPr>
          <w:rFonts w:hint="eastAsia" w:ascii="黑体" w:hAnsi="黑体" w:eastAsia="黑体" w:cs="仿宋_GB2312"/>
          <w:color w:val="auto"/>
          <w:kern w:val="0"/>
          <w:sz w:val="32"/>
          <w:szCs w:val="32"/>
        </w:rPr>
        <w:t>二、铁腕治污，严查严打</w:t>
      </w:r>
    </w:p>
    <w:p>
      <w:pPr>
        <w:spacing w:line="560" w:lineRule="exact"/>
        <w:ind w:firstLine="640" w:firstLineChars="200"/>
        <w:rPr>
          <w:rFonts w:ascii="仿宋_GB2312" w:hAnsi="华文仿宋" w:eastAsia="仿宋_GB2312" w:cs="仿宋_GB2312"/>
          <w:color w:val="auto"/>
          <w:kern w:val="0"/>
          <w:sz w:val="32"/>
          <w:szCs w:val="32"/>
        </w:rPr>
      </w:pPr>
      <w:r>
        <w:rPr>
          <w:rFonts w:hint="eastAsia" w:ascii="仿宋_GB2312" w:hAnsi="华文仿宋" w:eastAsia="仿宋_GB2312" w:cs="仿宋_GB2312"/>
          <w:color w:val="auto"/>
          <w:kern w:val="0"/>
          <w:sz w:val="32"/>
          <w:szCs w:val="32"/>
        </w:rPr>
        <w:t>以“踏石留印、抓铁留痕”的作风，在环境监管方面坚持保持高压态势，铁腕治污，保持对环境违法行为的高压态势，“零容忍”。</w:t>
      </w:r>
      <w:r>
        <w:rPr>
          <w:rFonts w:ascii="仿宋_GB2312" w:hAnsi="华文仿宋" w:eastAsia="仿宋_GB2312" w:cs="仿宋_GB2312"/>
          <w:color w:val="auto"/>
          <w:kern w:val="0"/>
          <w:sz w:val="32"/>
          <w:szCs w:val="32"/>
        </w:rPr>
        <w:t>2018</w:t>
      </w:r>
      <w:r>
        <w:rPr>
          <w:rFonts w:hint="eastAsia" w:ascii="仿宋_GB2312" w:hAnsi="华文仿宋" w:eastAsia="仿宋_GB2312" w:cs="仿宋_GB2312"/>
          <w:color w:val="auto"/>
          <w:kern w:val="0"/>
          <w:sz w:val="32"/>
          <w:szCs w:val="32"/>
        </w:rPr>
        <w:t>年</w:t>
      </w:r>
      <w:r>
        <w:rPr>
          <w:rFonts w:ascii="仿宋_GB2312" w:hAnsi="华文仿宋" w:eastAsia="仿宋_GB2312" w:cs="仿宋_GB2312"/>
          <w:color w:val="auto"/>
          <w:kern w:val="0"/>
          <w:sz w:val="32"/>
          <w:szCs w:val="32"/>
        </w:rPr>
        <w:t>2</w:t>
      </w:r>
      <w:r>
        <w:rPr>
          <w:rFonts w:hint="eastAsia" w:ascii="仿宋_GB2312" w:hAnsi="华文仿宋" w:eastAsia="仿宋_GB2312" w:cs="仿宋_GB2312"/>
          <w:color w:val="auto"/>
          <w:kern w:val="0"/>
          <w:sz w:val="32"/>
          <w:szCs w:val="32"/>
        </w:rPr>
        <w:t>月，在对青岛奥克凯姆化学助剂有限公司进行现场检查，发现该公司厂区内共计</w:t>
      </w:r>
      <w:r>
        <w:rPr>
          <w:rFonts w:ascii="仿宋_GB2312" w:hAnsi="华文仿宋" w:eastAsia="仿宋_GB2312" w:cs="仿宋_GB2312"/>
          <w:color w:val="auto"/>
          <w:kern w:val="0"/>
          <w:sz w:val="32"/>
          <w:szCs w:val="32"/>
        </w:rPr>
        <w:t>7</w:t>
      </w:r>
      <w:r>
        <w:rPr>
          <w:rFonts w:hint="eastAsia" w:ascii="仿宋_GB2312" w:hAnsi="华文仿宋" w:eastAsia="仿宋_GB2312" w:cs="仿宋_GB2312"/>
          <w:color w:val="auto"/>
          <w:kern w:val="0"/>
          <w:sz w:val="32"/>
          <w:szCs w:val="32"/>
        </w:rPr>
        <w:t>个点位土壤</w:t>
      </w:r>
      <w:r>
        <w:rPr>
          <w:rFonts w:ascii="仿宋_GB2312" w:hAnsi="华文仿宋" w:eastAsia="仿宋_GB2312" w:cs="仿宋_GB2312"/>
          <w:color w:val="auto"/>
          <w:kern w:val="0"/>
          <w:sz w:val="32"/>
          <w:szCs w:val="32"/>
        </w:rPr>
        <w:t>PH</w:t>
      </w:r>
      <w:r>
        <w:rPr>
          <w:rFonts w:hint="eastAsia" w:ascii="仿宋_GB2312" w:hAnsi="华文仿宋" w:eastAsia="仿宋_GB2312" w:cs="仿宋_GB2312"/>
          <w:color w:val="auto"/>
          <w:kern w:val="0"/>
          <w:sz w:val="32"/>
          <w:szCs w:val="32"/>
        </w:rPr>
        <w:t>异常（</w:t>
      </w:r>
      <w:r>
        <w:rPr>
          <w:rFonts w:ascii="仿宋_GB2312" w:hAnsi="华文仿宋" w:eastAsia="仿宋_GB2312" w:cs="仿宋_GB2312"/>
          <w:color w:val="auto"/>
          <w:kern w:val="0"/>
          <w:sz w:val="32"/>
          <w:szCs w:val="32"/>
        </w:rPr>
        <w:t>5</w:t>
      </w:r>
      <w:r>
        <w:rPr>
          <w:rFonts w:hint="eastAsia" w:ascii="仿宋_GB2312" w:hAnsi="华文仿宋" w:eastAsia="仿宋_GB2312" w:cs="仿宋_GB2312"/>
          <w:color w:val="auto"/>
          <w:kern w:val="0"/>
          <w:sz w:val="32"/>
          <w:szCs w:val="32"/>
        </w:rPr>
        <w:t>个呈碱性、</w:t>
      </w:r>
      <w:r>
        <w:rPr>
          <w:rFonts w:ascii="仿宋_GB2312" w:hAnsi="华文仿宋" w:eastAsia="仿宋_GB2312" w:cs="仿宋_GB2312"/>
          <w:color w:val="auto"/>
          <w:kern w:val="0"/>
          <w:sz w:val="32"/>
          <w:szCs w:val="32"/>
        </w:rPr>
        <w:t>2</w:t>
      </w:r>
      <w:r>
        <w:rPr>
          <w:rFonts w:hint="eastAsia" w:ascii="仿宋_GB2312" w:hAnsi="华文仿宋" w:eastAsia="仿宋_GB2312" w:cs="仿宋_GB2312"/>
          <w:color w:val="auto"/>
          <w:kern w:val="0"/>
          <w:sz w:val="32"/>
          <w:szCs w:val="32"/>
        </w:rPr>
        <w:t>个呈酸性），经检查，该公司沉淀池及污水处理站调节池处碱性冷凝水在地面溢流，车间清洗废水未按环评要求处理，溢流至</w:t>
      </w:r>
      <w:r>
        <w:rPr>
          <w:rFonts w:ascii="仿宋_GB2312" w:hAnsi="华文仿宋" w:eastAsia="仿宋_GB2312" w:cs="仿宋_GB2312"/>
          <w:color w:val="auto"/>
          <w:kern w:val="0"/>
          <w:sz w:val="32"/>
          <w:szCs w:val="32"/>
        </w:rPr>
        <w:t>NS</w:t>
      </w:r>
      <w:r>
        <w:rPr>
          <w:rFonts w:hint="eastAsia" w:ascii="仿宋_GB2312" w:hAnsi="华文仿宋" w:eastAsia="仿宋_GB2312" w:cs="仿宋_GB2312"/>
          <w:color w:val="auto"/>
          <w:kern w:val="0"/>
          <w:sz w:val="32"/>
          <w:szCs w:val="32"/>
        </w:rPr>
        <w:t>车间北侧，硫酸储罐南侧有部分土壤呈强酸性，</w:t>
      </w:r>
      <w:r>
        <w:rPr>
          <w:rFonts w:ascii="仿宋_GB2312" w:hAnsi="华文仿宋" w:eastAsia="仿宋_GB2312" w:cs="仿宋_GB2312"/>
          <w:color w:val="auto"/>
          <w:kern w:val="0"/>
          <w:sz w:val="32"/>
          <w:szCs w:val="32"/>
        </w:rPr>
        <w:t>NS</w:t>
      </w:r>
      <w:r>
        <w:rPr>
          <w:rFonts w:hint="eastAsia" w:ascii="仿宋_GB2312" w:hAnsi="华文仿宋" w:eastAsia="仿宋_GB2312" w:cs="仿宋_GB2312"/>
          <w:color w:val="auto"/>
          <w:kern w:val="0"/>
          <w:sz w:val="32"/>
          <w:szCs w:val="32"/>
        </w:rPr>
        <w:t>车间外硫酸储罐围堰破损废液渗漏至地面导致土壤污染，立即对现场进行取证调查，该公司多处管线碱性蒸汽长期无组织排放，蒸汽冷凝水未经处理，任其通过渗坑的方式蒸发和溢流，对土壤和周边环境造成不利影响。案件调查过程中，以高度的工作责任心，与违法人员斗智斗勇，共制作调查询问笔录</w:t>
      </w:r>
      <w:r>
        <w:rPr>
          <w:rFonts w:ascii="仿宋_GB2312" w:hAnsi="华文仿宋" w:eastAsia="仿宋_GB2312" w:cs="仿宋_GB2312"/>
          <w:color w:val="auto"/>
          <w:kern w:val="0"/>
          <w:sz w:val="32"/>
          <w:szCs w:val="32"/>
        </w:rPr>
        <w:t>9</w:t>
      </w:r>
      <w:r>
        <w:rPr>
          <w:rFonts w:hint="eastAsia" w:ascii="仿宋_GB2312" w:hAnsi="华文仿宋" w:eastAsia="仿宋_GB2312" w:cs="仿宋_GB2312"/>
          <w:color w:val="auto"/>
          <w:kern w:val="0"/>
          <w:sz w:val="32"/>
          <w:szCs w:val="32"/>
        </w:rPr>
        <w:t>份，提取发票、通话记录、电话录音等证据</w:t>
      </w:r>
      <w:r>
        <w:rPr>
          <w:rFonts w:ascii="仿宋_GB2312" w:hAnsi="华文仿宋" w:eastAsia="仿宋_GB2312" w:cs="仿宋_GB2312"/>
          <w:color w:val="auto"/>
          <w:kern w:val="0"/>
          <w:sz w:val="32"/>
          <w:szCs w:val="32"/>
        </w:rPr>
        <w:t>20</w:t>
      </w:r>
      <w:r>
        <w:rPr>
          <w:rFonts w:hint="eastAsia" w:ascii="仿宋_GB2312" w:hAnsi="华文仿宋" w:eastAsia="仿宋_GB2312" w:cs="仿宋_GB2312"/>
          <w:color w:val="auto"/>
          <w:kern w:val="0"/>
          <w:sz w:val="32"/>
          <w:szCs w:val="32"/>
        </w:rPr>
        <w:t>多份，影像资料将近</w:t>
      </w:r>
      <w:r>
        <w:rPr>
          <w:rFonts w:ascii="仿宋_GB2312" w:hAnsi="华文仿宋" w:eastAsia="仿宋_GB2312" w:cs="仿宋_GB2312"/>
          <w:color w:val="auto"/>
          <w:kern w:val="0"/>
          <w:sz w:val="32"/>
          <w:szCs w:val="32"/>
        </w:rPr>
        <w:t>4G</w:t>
      </w:r>
      <w:r>
        <w:rPr>
          <w:rFonts w:hint="eastAsia" w:ascii="仿宋_GB2312" w:hAnsi="华文仿宋" w:eastAsia="仿宋_GB2312" w:cs="仿宋_GB2312"/>
          <w:color w:val="auto"/>
          <w:kern w:val="0"/>
          <w:sz w:val="32"/>
          <w:szCs w:val="32"/>
        </w:rPr>
        <w:t>。依法对青岛奥克凯姆化学助剂有限公司利用渗坑排放水污染物和逃避监管的方式排放大气污染物的环境违法行为处以</w:t>
      </w:r>
      <w:r>
        <w:rPr>
          <w:rFonts w:ascii="仿宋_GB2312" w:hAnsi="华文仿宋" w:eastAsia="仿宋_GB2312" w:cs="仿宋_GB2312"/>
          <w:color w:val="auto"/>
          <w:kern w:val="0"/>
          <w:sz w:val="32"/>
          <w:szCs w:val="32"/>
        </w:rPr>
        <w:t>50</w:t>
      </w:r>
      <w:r>
        <w:rPr>
          <w:rFonts w:hint="eastAsia" w:ascii="仿宋_GB2312" w:hAnsi="华文仿宋" w:eastAsia="仿宋_GB2312" w:cs="仿宋_GB2312"/>
          <w:color w:val="auto"/>
          <w:kern w:val="0"/>
          <w:sz w:val="32"/>
          <w:szCs w:val="32"/>
        </w:rPr>
        <w:t>万元的罚款，移送公安机关行政拘留</w:t>
      </w:r>
      <w:r>
        <w:rPr>
          <w:rFonts w:ascii="仿宋_GB2312" w:hAnsi="华文仿宋" w:eastAsia="仿宋_GB2312" w:cs="仿宋_GB2312"/>
          <w:color w:val="auto"/>
          <w:kern w:val="0"/>
          <w:sz w:val="32"/>
          <w:szCs w:val="32"/>
        </w:rPr>
        <w:t>2</w:t>
      </w:r>
      <w:r>
        <w:rPr>
          <w:rFonts w:hint="eastAsia" w:ascii="仿宋_GB2312" w:hAnsi="华文仿宋" w:eastAsia="仿宋_GB2312" w:cs="仿宋_GB2312"/>
          <w:color w:val="auto"/>
          <w:kern w:val="0"/>
          <w:sz w:val="32"/>
          <w:szCs w:val="32"/>
        </w:rPr>
        <w:t>人。</w:t>
      </w:r>
    </w:p>
    <w:p>
      <w:pPr>
        <w:spacing w:line="560" w:lineRule="exact"/>
        <w:ind w:firstLine="640" w:firstLineChars="200"/>
        <w:rPr>
          <w:rFonts w:ascii="黑体" w:hAnsi="黑体" w:eastAsia="黑体" w:cs="仿宋_GB2312"/>
          <w:color w:val="auto"/>
          <w:kern w:val="0"/>
          <w:sz w:val="32"/>
          <w:szCs w:val="32"/>
        </w:rPr>
      </w:pPr>
      <w:r>
        <w:rPr>
          <w:rFonts w:hint="eastAsia" w:ascii="黑体" w:hAnsi="黑体" w:eastAsia="黑体" w:cs="仿宋_GB2312"/>
          <w:color w:val="auto"/>
          <w:kern w:val="0"/>
          <w:sz w:val="32"/>
          <w:szCs w:val="32"/>
        </w:rPr>
        <w:t>三、精细管理，</w:t>
      </w:r>
      <w:r>
        <w:rPr>
          <w:rFonts w:ascii="黑体" w:hAnsi="黑体" w:eastAsia="黑体" w:cs="仿宋_GB2312"/>
          <w:color w:val="auto"/>
          <w:kern w:val="0"/>
          <w:sz w:val="32"/>
          <w:szCs w:val="32"/>
        </w:rPr>
        <w:t xml:space="preserve"> </w:t>
      </w:r>
      <w:r>
        <w:rPr>
          <w:rFonts w:hint="eastAsia" w:ascii="黑体" w:hAnsi="黑体" w:eastAsia="黑体" w:cs="仿宋_GB2312"/>
          <w:color w:val="auto"/>
          <w:kern w:val="0"/>
          <w:sz w:val="32"/>
          <w:szCs w:val="32"/>
        </w:rPr>
        <w:t>条块结合</w:t>
      </w:r>
    </w:p>
    <w:p>
      <w:pPr>
        <w:spacing w:line="560" w:lineRule="exact"/>
        <w:ind w:firstLine="640" w:firstLineChars="200"/>
        <w:rPr>
          <w:rFonts w:ascii="仿宋_GB2312" w:hAnsi="华文仿宋" w:eastAsia="仿宋_GB2312" w:cs="仿宋_GB2312"/>
          <w:color w:val="auto"/>
          <w:kern w:val="0"/>
          <w:sz w:val="32"/>
          <w:szCs w:val="32"/>
        </w:rPr>
      </w:pPr>
      <w:r>
        <w:rPr>
          <w:rFonts w:hint="eastAsia" w:ascii="仿宋_GB2312" w:hAnsi="华文仿宋" w:eastAsia="仿宋_GB2312" w:cs="仿宋_GB2312"/>
          <w:color w:val="auto"/>
          <w:kern w:val="0"/>
          <w:sz w:val="32"/>
          <w:szCs w:val="32"/>
        </w:rPr>
        <w:t>实行“条块结合，以块为主”的网格化管理机制，一是对所辖区域进行了划为</w:t>
      </w:r>
      <w:r>
        <w:rPr>
          <w:rFonts w:ascii="仿宋_GB2312" w:hAnsi="华文仿宋" w:eastAsia="仿宋_GB2312" w:cs="仿宋_GB2312"/>
          <w:color w:val="auto"/>
          <w:kern w:val="0"/>
          <w:sz w:val="32"/>
          <w:szCs w:val="32"/>
        </w:rPr>
        <w:t>4</w:t>
      </w:r>
      <w:r>
        <w:rPr>
          <w:rFonts w:hint="eastAsia" w:ascii="仿宋_GB2312" w:hAnsi="华文仿宋" w:eastAsia="仿宋_GB2312" w:cs="仿宋_GB2312"/>
          <w:color w:val="auto"/>
          <w:kern w:val="0"/>
          <w:sz w:val="32"/>
          <w:szCs w:val="32"/>
        </w:rPr>
        <w:t>个片区，由专人负责，开展企业摸底巡查和日常监管工作；对日常工作进行了分工，水、大气、信访、辐射、应急等工作具体到人。通过分工分片，捋清工作和责任，提高工作人员能动性，同时秉持分工不分家的原则，互帮互助，集中力量解决环境监管中碰到的疑难杂症。为解决所辖区域企业众多，执法力量薄弱的现状，借力各部门及镇街环保力量，通过信息共享、联勤联动等方式对辖区企业开展监管。通过借力和协作，提升了环境执法能力，对环境违法行为形成有力震慑，对辖区内</w:t>
      </w:r>
      <w:r>
        <w:rPr>
          <w:rFonts w:ascii="仿宋_GB2312" w:hAnsi="华文仿宋" w:eastAsia="仿宋_GB2312" w:cs="仿宋_GB2312"/>
          <w:color w:val="auto"/>
          <w:kern w:val="0"/>
          <w:sz w:val="32"/>
          <w:szCs w:val="32"/>
        </w:rPr>
        <w:t>42</w:t>
      </w:r>
      <w:r>
        <w:rPr>
          <w:rFonts w:hint="eastAsia" w:ascii="仿宋_GB2312" w:hAnsi="华文仿宋" w:eastAsia="仿宋_GB2312" w:cs="仿宋_GB2312"/>
          <w:color w:val="auto"/>
          <w:kern w:val="0"/>
          <w:sz w:val="32"/>
          <w:szCs w:val="32"/>
        </w:rPr>
        <w:t>台工业用燃煤锅炉进行了淘汰。为青岛峰会的环境安全保障作出了突出贡献。</w:t>
      </w:r>
    </w:p>
    <w:p>
      <w:pPr>
        <w:spacing w:line="560" w:lineRule="exact"/>
        <w:ind w:firstLine="640" w:firstLineChars="200"/>
        <w:rPr>
          <w:rFonts w:ascii="黑体" w:hAnsi="黑体" w:eastAsia="黑体" w:cs="仿宋_GB2312"/>
          <w:color w:val="auto"/>
          <w:kern w:val="0"/>
          <w:sz w:val="32"/>
          <w:szCs w:val="32"/>
        </w:rPr>
      </w:pPr>
      <w:r>
        <w:rPr>
          <w:rFonts w:hint="eastAsia" w:ascii="黑体" w:hAnsi="黑体" w:eastAsia="黑体" w:cs="仿宋_GB2312"/>
          <w:color w:val="auto"/>
          <w:kern w:val="0"/>
          <w:sz w:val="32"/>
          <w:szCs w:val="32"/>
        </w:rPr>
        <w:t>四、创新夜查，无缝监管</w:t>
      </w:r>
    </w:p>
    <w:p>
      <w:pPr>
        <w:spacing w:line="560" w:lineRule="exact"/>
        <w:ind w:firstLine="640" w:firstLineChars="200"/>
        <w:rPr>
          <w:rFonts w:ascii="仿宋_GB2312" w:hAnsi="华文仿宋" w:eastAsia="仿宋_GB2312" w:cs="仿宋_GB2312"/>
          <w:color w:val="auto"/>
          <w:kern w:val="0"/>
          <w:sz w:val="32"/>
          <w:szCs w:val="32"/>
        </w:rPr>
      </w:pPr>
      <w:r>
        <w:rPr>
          <w:rFonts w:hint="eastAsia" w:ascii="仿宋_GB2312" w:hAnsi="华文仿宋" w:eastAsia="仿宋_GB2312" w:cs="仿宋_GB2312"/>
          <w:color w:val="auto"/>
          <w:kern w:val="0"/>
          <w:sz w:val="32"/>
          <w:szCs w:val="32"/>
        </w:rPr>
        <w:t>为全天候保持对环境违法行为的高压态势，创新开展了夜间、早间巡查执法工作机制，安排专人错时上班，围绕重点排污企业，加大执法巡查力度，做到</w:t>
      </w:r>
      <w:r>
        <w:rPr>
          <w:rFonts w:ascii="仿宋_GB2312" w:hAnsi="华文仿宋" w:eastAsia="仿宋_GB2312" w:cs="仿宋_GB2312"/>
          <w:color w:val="auto"/>
          <w:kern w:val="0"/>
          <w:sz w:val="32"/>
          <w:szCs w:val="32"/>
        </w:rPr>
        <w:t>24</w:t>
      </w:r>
      <w:r>
        <w:rPr>
          <w:rFonts w:hint="eastAsia" w:ascii="仿宋_GB2312" w:hAnsi="华文仿宋" w:eastAsia="仿宋_GB2312" w:cs="仿宋_GB2312"/>
          <w:color w:val="auto"/>
          <w:kern w:val="0"/>
          <w:sz w:val="32"/>
          <w:szCs w:val="32"/>
        </w:rPr>
        <w:t>小时无缝隙监管。共出动夜查早查人员</w:t>
      </w:r>
      <w:r>
        <w:rPr>
          <w:rFonts w:ascii="仿宋_GB2312" w:hAnsi="华文仿宋" w:eastAsia="仿宋_GB2312" w:cs="仿宋_GB2312"/>
          <w:color w:val="auto"/>
          <w:kern w:val="0"/>
          <w:sz w:val="32"/>
          <w:szCs w:val="32"/>
        </w:rPr>
        <w:t>80</w:t>
      </w:r>
      <w:r>
        <w:rPr>
          <w:rFonts w:hint="eastAsia" w:ascii="仿宋_GB2312" w:hAnsi="华文仿宋" w:eastAsia="仿宋_GB2312" w:cs="仿宋_GB2312"/>
          <w:color w:val="auto"/>
          <w:kern w:val="0"/>
          <w:sz w:val="32"/>
          <w:szCs w:val="32"/>
        </w:rPr>
        <w:t>人次，监察企业</w:t>
      </w:r>
      <w:r>
        <w:rPr>
          <w:rFonts w:ascii="仿宋_GB2312" w:hAnsi="华文仿宋" w:eastAsia="仿宋_GB2312" w:cs="仿宋_GB2312"/>
          <w:color w:val="auto"/>
          <w:kern w:val="0"/>
          <w:sz w:val="32"/>
          <w:szCs w:val="32"/>
        </w:rPr>
        <w:t>200</w:t>
      </w:r>
      <w:r>
        <w:rPr>
          <w:rFonts w:hint="eastAsia" w:ascii="仿宋_GB2312" w:hAnsi="华文仿宋" w:eastAsia="仿宋_GB2312" w:cs="仿宋_GB2312"/>
          <w:color w:val="auto"/>
          <w:kern w:val="0"/>
          <w:sz w:val="32"/>
          <w:szCs w:val="32"/>
        </w:rPr>
        <w:t>余家次，确保环境监管全覆盖，无死角。并利用夜查时间，解决了一批群众关注的夜间信访问题，成效显著，真正实现了“群众什么时间有需要，我们中队执法人员就会出现在您身边”的庄严承诺。</w:t>
      </w:r>
    </w:p>
    <w:p>
      <w:bookmarkStart w:id="0" w:name="_GoBack"/>
      <w:bookmarkEnd w:id="0"/>
    </w:p>
    <w:sectPr>
      <w:footerReference r:id="rId3" w:type="default"/>
      <w:footerReference r:id="rId4" w:type="even"/>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3</w:t>
    </w:r>
    <w:r>
      <w:rPr>
        <w:rStyle w:val="7"/>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393F"/>
    <w:rsid w:val="0000160D"/>
    <w:rsid w:val="00081A0F"/>
    <w:rsid w:val="00110B0B"/>
    <w:rsid w:val="001312F1"/>
    <w:rsid w:val="00146506"/>
    <w:rsid w:val="00172336"/>
    <w:rsid w:val="001E2D06"/>
    <w:rsid w:val="001E5C78"/>
    <w:rsid w:val="002646B0"/>
    <w:rsid w:val="002B774D"/>
    <w:rsid w:val="003730E3"/>
    <w:rsid w:val="00384FBD"/>
    <w:rsid w:val="00400BB8"/>
    <w:rsid w:val="004440D8"/>
    <w:rsid w:val="004A71DB"/>
    <w:rsid w:val="004F703E"/>
    <w:rsid w:val="005470EA"/>
    <w:rsid w:val="00583E16"/>
    <w:rsid w:val="005D393F"/>
    <w:rsid w:val="005E5E7B"/>
    <w:rsid w:val="005F3398"/>
    <w:rsid w:val="0060258A"/>
    <w:rsid w:val="00636D31"/>
    <w:rsid w:val="007215C8"/>
    <w:rsid w:val="00731478"/>
    <w:rsid w:val="007573F9"/>
    <w:rsid w:val="00781341"/>
    <w:rsid w:val="00806B3C"/>
    <w:rsid w:val="008D226D"/>
    <w:rsid w:val="009D7956"/>
    <w:rsid w:val="00A531A8"/>
    <w:rsid w:val="00B629EE"/>
    <w:rsid w:val="00C8299C"/>
    <w:rsid w:val="00CB7657"/>
    <w:rsid w:val="00D004D0"/>
    <w:rsid w:val="00DA3161"/>
    <w:rsid w:val="00E43980"/>
    <w:rsid w:val="00E5355E"/>
    <w:rsid w:val="00EF50F9"/>
    <w:rsid w:val="00F575B6"/>
    <w:rsid w:val="00F934A3"/>
    <w:rsid w:val="30BB43B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11"/>
    <w:semiHidden/>
    <w:uiPriority w:val="99"/>
    <w:pPr>
      <w:tabs>
        <w:tab w:val="center" w:pos="4153"/>
        <w:tab w:val="right" w:pos="8306"/>
      </w:tabs>
      <w:snapToGrid w:val="0"/>
      <w:jc w:val="left"/>
    </w:pPr>
    <w:rPr>
      <w:sz w:val="18"/>
      <w:szCs w:val="18"/>
    </w:rPr>
  </w:style>
  <w:style w:type="paragraph" w:styleId="4">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page number"/>
    <w:basedOn w:val="6"/>
    <w:uiPriority w:val="99"/>
    <w:rPr>
      <w:rFonts w:cs="Times New Roman"/>
    </w:rPr>
  </w:style>
  <w:style w:type="paragraph" w:styleId="9">
    <w:name w:val="List Paragraph"/>
    <w:basedOn w:val="1"/>
    <w:qFormat/>
    <w:uiPriority w:val="99"/>
    <w:pPr>
      <w:ind w:firstLine="420" w:firstLineChars="200"/>
    </w:pPr>
  </w:style>
  <w:style w:type="character" w:customStyle="1" w:styleId="10">
    <w:name w:val="Header Char"/>
    <w:basedOn w:val="6"/>
    <w:link w:val="4"/>
    <w:semiHidden/>
    <w:locked/>
    <w:uiPriority w:val="99"/>
    <w:rPr>
      <w:rFonts w:cs="Times New Roman"/>
      <w:sz w:val="18"/>
      <w:szCs w:val="18"/>
    </w:rPr>
  </w:style>
  <w:style w:type="character" w:customStyle="1" w:styleId="11">
    <w:name w:val="Footer Char"/>
    <w:basedOn w:val="6"/>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205</Words>
  <Characters>1173</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2018-10-23T08:15:00Z</dcterms:created>
  <dc:creator>GG</dc:creator>
  <cp:lastModifiedBy>幻海云境</cp:lastModifiedBy>
  <dcterms:modified xsi:type="dcterms:W3CDTF">2018-12-18T02:59:18Z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