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color w:val="auto"/>
          <w:sz w:val="44"/>
          <w:szCs w:val="44"/>
        </w:rPr>
      </w:pPr>
      <w:r>
        <w:rPr>
          <w:rFonts w:hint="eastAsia" w:ascii="宋体" w:hAnsi="宋体"/>
          <w:color w:val="auto"/>
          <w:sz w:val="44"/>
          <w:szCs w:val="44"/>
        </w:rPr>
        <w:t>市级先进个人事迹材料</w:t>
      </w:r>
    </w:p>
    <w:p>
      <w:pPr>
        <w:spacing w:line="560" w:lineRule="atLeast"/>
        <w:jc w:val="center"/>
        <w:rPr>
          <w:rFonts w:ascii="仿宋_GB2312" w:hAnsi="仿宋" w:eastAsia="仿宋_GB2312"/>
          <w:color w:val="auto"/>
          <w:sz w:val="32"/>
          <w:szCs w:val="32"/>
        </w:rPr>
      </w:pPr>
      <w:r>
        <w:rPr>
          <w:rFonts w:hint="eastAsia" w:ascii="仿宋_GB2312" w:hAnsi="仿宋" w:eastAsia="仿宋_GB2312"/>
          <w:color w:val="auto"/>
          <w:sz w:val="32"/>
          <w:szCs w:val="32"/>
        </w:rPr>
        <w:t>深圳市 董嘉仪</w:t>
      </w:r>
    </w:p>
    <w:p>
      <w:pPr>
        <w:spacing w:line="560" w:lineRule="atLeast"/>
        <w:rPr>
          <w:rFonts w:ascii="仿宋_GB2312" w:hAnsi="仿宋" w:eastAsia="仿宋_GB2312"/>
          <w:color w:val="auto"/>
          <w:sz w:val="32"/>
          <w:szCs w:val="32"/>
        </w:rPr>
      </w:pPr>
    </w:p>
    <w:p>
      <w:pPr>
        <w:spacing w:line="560" w:lineRule="atLeas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本人董嘉仪，男，34岁，中共党员，2007年参加工作，现任深圳市东深水源保护办公室监督巡查科副科长。多年来，本人坚决执行党的路线、方针、政策，严格遵守国家法律、法规，立足岗位、奋发进取，开拓创新，勇于奉献。2015年6月，担任市东深水源办监督巡查科副科长以来，始终树立以人为本、执法为民的理念，严于律</w:t>
      </w:r>
      <w:r>
        <w:rPr>
          <w:rFonts w:hint="eastAsia" w:ascii="仿宋_GB2312" w:hAnsi="仿宋" w:eastAsia="仿宋_GB2312"/>
          <w:color w:val="auto"/>
          <w:sz w:val="32"/>
          <w:szCs w:val="32"/>
          <w:lang w:val="en-US" w:eastAsia="zh-CN"/>
        </w:rPr>
        <w:t>己</w:t>
      </w:r>
      <w:r>
        <w:rPr>
          <w:rFonts w:hint="eastAsia" w:ascii="仿宋_GB2312" w:hAnsi="仿宋" w:eastAsia="仿宋_GB2312"/>
          <w:color w:val="auto"/>
          <w:sz w:val="32"/>
          <w:szCs w:val="32"/>
        </w:rPr>
        <w:t>，爱岗敬业，脚踏实地，恪尽职守，组织、参与、审核了我办大部分环境违法案件的调查和处理，其中2018年至今组织参与的环境违法案件中，立案报罚18宗、实施查封11宗，制止了环境违法行为，震慑了违法对象，为保护深圳水库水质安全作出了应有贡献。现将有关事迹报告如下:</w:t>
      </w:r>
    </w:p>
    <w:p>
      <w:pPr>
        <w:spacing w:line="560" w:lineRule="atLeast"/>
        <w:ind w:firstLine="640" w:firstLineChars="200"/>
        <w:rPr>
          <w:rFonts w:ascii="黑体" w:hAnsi="黑体" w:eastAsia="黑体"/>
          <w:color w:val="auto"/>
          <w:sz w:val="32"/>
          <w:szCs w:val="32"/>
        </w:rPr>
      </w:pPr>
      <w:r>
        <w:rPr>
          <w:rFonts w:hint="eastAsia" w:ascii="黑体" w:hAnsi="黑体" w:eastAsia="黑体"/>
          <w:color w:val="auto"/>
          <w:sz w:val="32"/>
          <w:szCs w:val="32"/>
        </w:rPr>
        <w:t>一、严格落实，完成中央督察交办任务</w:t>
      </w:r>
    </w:p>
    <w:p>
      <w:pPr>
        <w:spacing w:line="560" w:lineRule="atLeas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20l8年，生态环境部进驻广东，先后开展了中央环保督查“回头看”和两轮集中式饮用水水源地环境保护专项督查。其中，针对中央环保督查“回头看”交办案件，组织对深圳水库二级饮用水源保护区内的万腾达、永安等2家碎石厂各立案处罚20万元，并对其生产设备进行了查封，最终停产搬迁；组织对荣基、皇朝等2家石材厂各立案处罚10万元，并对其生产设备进行了查封，确保其停产关闭，完成了中央环保督查“回头看”既定目标。针对饮用水水源地环境保护专项督查交办位于二级水源保护区的沥青搅拌站的取缔任务，先后以未批先建和非法排污，两次组织对该沥青搅拌站进行立案处罚；组织执法人员突击检查和连续夜间蹲守，着重关注夜晚11点到凌晨3点时间段，切实保证其停产停工；协调供水、供电部门对该沥青搅拌站实施断水断电；并对其人员进行劝离，对其板房、设备包括发电机、总电箱、进料设备、出料设备、关键阀门等进行了查封；最终通过大量的协调工作，在各部门协力推进下，经过34小时连续作业，将沥青厂砂石原料全部拉运清理完毕，两天总计拉运261车次，共5235吨，办公和生活板房全部拆卸并搬离厂区，完成了水源地专项督查既定目标。</w:t>
      </w:r>
    </w:p>
    <w:p>
      <w:pPr>
        <w:spacing w:line="560" w:lineRule="atLeast"/>
        <w:ind w:firstLine="640" w:firstLineChars="200"/>
        <w:rPr>
          <w:rFonts w:ascii="黑体" w:hAnsi="黑体" w:eastAsia="黑体"/>
          <w:color w:val="auto"/>
          <w:sz w:val="32"/>
          <w:szCs w:val="32"/>
        </w:rPr>
      </w:pPr>
      <w:r>
        <w:rPr>
          <w:rFonts w:hint="eastAsia" w:ascii="黑体" w:hAnsi="黑体" w:eastAsia="黑体"/>
          <w:color w:val="auto"/>
          <w:sz w:val="32"/>
          <w:szCs w:val="32"/>
        </w:rPr>
        <w:t>二、迎难而上，保障饮用水源水质安全</w:t>
      </w:r>
    </w:p>
    <w:p>
      <w:pPr>
        <w:spacing w:line="560" w:lineRule="atLeas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非法“农家乐”的监管处理一直是水源保护工作的重要内容，但因非法“农家乐”多牵涉违规使用土地、历史遗留问题、违法乱搭建、多重转租主体不清等问题，监管处理难度巨大。但为了切实保障饮用水源水质安全，本人牵头组织，举全办之力，利用五一假期，对深圳水库上游盟海农场内和望桐路北侧山地的15家违法经营“农家乐”进行了突击检查，在炎热天气下执法人员持续工作超过I4小时，现场对10家经营业主下达了责令改正违法行为决定书。经过一周的调查、取证、复核等法定程序，联合街道、公安对其中9家非法“农家乐”的产污设备进行了查封。随后多次组织各职能部门在上述区域实施生态违法行为整治行动，共出动130多人次，清理家禽220余只，拆除违法建筑（搭建）8处，拆除建筑面积约500平方米。</w:t>
      </w:r>
    </w:p>
    <w:p>
      <w:pPr>
        <w:spacing w:line="560" w:lineRule="atLeast"/>
        <w:ind w:firstLine="640" w:firstLineChars="200"/>
        <w:rPr>
          <w:rFonts w:ascii="黑体" w:hAnsi="黑体" w:eastAsia="黑体"/>
          <w:color w:val="auto"/>
          <w:sz w:val="32"/>
          <w:szCs w:val="32"/>
        </w:rPr>
      </w:pPr>
      <w:r>
        <w:rPr>
          <w:rFonts w:hint="eastAsia" w:ascii="黑体" w:hAnsi="黑体" w:eastAsia="黑体"/>
          <w:color w:val="auto"/>
          <w:sz w:val="32"/>
          <w:szCs w:val="32"/>
        </w:rPr>
        <w:t>三、依法行政，环境违法处理一视同仁</w:t>
      </w:r>
    </w:p>
    <w:p>
      <w:pPr>
        <w:spacing w:line="560" w:lineRule="atLeas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深圳市东部过境高速公路位于深圳东部，是广东省重点建设项目之一，是事关民生的政治工程，其一、二标段横穿深圳水库水源保护区，为防止该工程施工对深圳水库水源保护区造成环境污染和生态破坏，确保水库水质安全，市东深水源办成立了工作专组，由本人牵头组织实施监督管理。出台了专项工作方案，利用每周巡查、联合检查、突击检查、定期约谈等多种方式对工程项目施工进行监管，并开展暴雨后水质采样监测等。同时，查实了该工程一、二标段四个项目部位于二级水源保护区，未落实环评批复的有关要求，根据《建设项目环境保护管理条例》的有关规定，现场下达了责令改正违法行为决定书，立案查处，拟依法责令其停止建设，并处罚75万元。目前该案件正在审理，已进入听证程序。</w:t>
      </w:r>
    </w:p>
    <w:p>
      <w:pPr>
        <w:spacing w:line="560" w:lineRule="atLeast"/>
        <w:ind w:firstLine="640" w:firstLineChars="200"/>
        <w:rPr>
          <w:rFonts w:ascii="黑体" w:hAnsi="黑体" w:eastAsia="黑体"/>
          <w:color w:val="auto"/>
          <w:sz w:val="32"/>
          <w:szCs w:val="32"/>
        </w:rPr>
      </w:pPr>
      <w:r>
        <w:rPr>
          <w:rFonts w:hint="eastAsia" w:ascii="黑体" w:hAnsi="黑体" w:eastAsia="黑体"/>
          <w:color w:val="auto"/>
          <w:sz w:val="32"/>
          <w:szCs w:val="32"/>
        </w:rPr>
        <w:t>四、提高标准，严厉打击环境违法行为</w:t>
      </w:r>
    </w:p>
    <w:p>
      <w:pPr>
        <w:spacing w:line="560" w:lineRule="atLeas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近年来，随着环保执法的深入，企业违法成本不断增加，于是很多企业，特别是一些废水间歇性排放的企业，摸准了执法人员的上班规律，在夜间实施偷排行为。另外城市发展使得排水走向出现了很大变化，且大部分管网都是暗渠，因此在河道出现异常排水时开展溯源检查就成为了一项异常艰辛的工作。8月，收到居民举报线索，李朗河边出现大量白色污水。本人组织执法人员排班连续夜间蹲点，在第二天晚上11点，再次发现大量白色污水排入李朗河，随即带领执法人员冒着大雨，沿着李朗河把雨水、污水井盖逐个翻开检查，做快速检测比对，最终锁定益民食品公司。进入厂区后第一时间寻找污水排放源头、路径，通过快速检测、采样、录像取证等迅速固定证据后立即责令停止生产和排污行为，制作了笔录并送达了责令改正违法行为决定书，立案查处，拟依法处罚50万元。目前该案件正在审理，已进入听证程序。</w:t>
      </w:r>
    </w:p>
    <w:p>
      <w:pPr>
        <w:spacing w:line="560" w:lineRule="atLeast"/>
        <w:ind w:firstLine="640" w:firstLineChars="200"/>
        <w:rPr>
          <w:rFonts w:ascii="黑体" w:hAnsi="黑体" w:eastAsia="黑体"/>
          <w:color w:val="auto"/>
          <w:sz w:val="32"/>
          <w:szCs w:val="32"/>
        </w:rPr>
      </w:pPr>
      <w:r>
        <w:rPr>
          <w:rFonts w:hint="eastAsia" w:ascii="黑体" w:hAnsi="黑体" w:eastAsia="黑体"/>
          <w:color w:val="auto"/>
          <w:sz w:val="32"/>
          <w:szCs w:val="32"/>
        </w:rPr>
        <w:t>五、廉洁自律，带头树立风清气正之风</w:t>
      </w:r>
    </w:p>
    <w:p>
      <w:pPr>
        <w:spacing w:line="560" w:lineRule="atLeas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作为一名执法者，文明执法，公正执法是不变的信条。干干净净做事，清清白白做人，顶得住人情，抵得住诱惑，必须坚持原则，遵守各项规定。在日常的执法当中，难免会遇到各种各样的监管对象，为了给自己开脱，找人说情，打感情牌。遇到这种情况，必须要敢于对说情者说不，做一个“无情”的人。在今年5月下沉督察期间，发现某区管企业生产废水通过厕所排入雨水管网的违法行为，眼见违法行为败露，企业负责人苦苦哀求，说企业是他奋斗一辈子的成果，如果处罚，将面临倒闭，如果放他们一马，愿意花钱打点。面对这种情况，本人当场严厉拒绝该企业负责人，并动之以情、晓之以理地对其进行了批评教育，并要求辖区执法部门依法对该企业进行立案查处。</w:t>
      </w:r>
    </w:p>
    <w:p>
      <w:pPr>
        <w:spacing w:line="560" w:lineRule="atLeast"/>
        <w:ind w:firstLine="640" w:firstLineChars="200"/>
        <w:rPr>
          <w:rFonts w:ascii="黑体" w:hAnsi="黑体" w:eastAsia="黑体"/>
          <w:color w:val="auto"/>
          <w:sz w:val="32"/>
          <w:szCs w:val="32"/>
        </w:rPr>
      </w:pPr>
      <w:r>
        <w:rPr>
          <w:rFonts w:hint="eastAsia" w:ascii="黑体" w:hAnsi="黑体" w:eastAsia="黑体"/>
          <w:color w:val="auto"/>
          <w:sz w:val="32"/>
          <w:szCs w:val="32"/>
        </w:rPr>
        <w:t>六、坚持学习，不断提高依法履职能力</w:t>
      </w:r>
    </w:p>
    <w:p>
      <w:pPr>
        <w:spacing w:line="560" w:lineRule="atLeast"/>
        <w:ind w:firstLine="640" w:firstLineChars="200"/>
        <w:rPr>
          <w:rFonts w:ascii="仿宋_GB2312" w:hAnsi="仿宋" w:eastAsia="仿宋_GB2312"/>
          <w:color w:val="auto"/>
          <w:sz w:val="32"/>
          <w:szCs w:val="32"/>
        </w:rPr>
      </w:pPr>
      <w:r>
        <w:rPr>
          <w:rFonts w:hint="eastAsia" w:ascii="仿宋_GB2312" w:hAnsi="仿宋" w:eastAsia="仿宋_GB2312"/>
          <w:color w:val="auto"/>
          <w:sz w:val="32"/>
          <w:szCs w:val="32"/>
        </w:rPr>
        <w:t>基层执法，需要感同身受群众面对环境污染的处境，需要和违法对象斗智斗勇，需具备极强的综合素质和业务能力。近几年来颁布了很多新的环保法律法规，特别是《环保法》《水污染防治法》《大气污染防治法》和新近出台的《土壤污染防治法》，以及两法衔接等问题，打铁还须自身硬，没有过硬的法律知识，根本无法满足新形势的需要，环境违法行为就无法得到应用的惩处。为此，本人坚持学习新的法律法规，并组织全科执法人员定期学习讨论，不断请教律师和法律顾问，甚至会因为一些法律问题“争得面红耳赤”。通过不懈的努力，持续提高自身依法行政的能力，力争把自己打造成一个业务水平高，组织能力强的好干部。</w:t>
      </w:r>
    </w:p>
    <w:p>
      <w:pPr>
        <w:wordWrap w:val="0"/>
        <w:spacing w:line="560" w:lineRule="atLeast"/>
        <w:rPr>
          <w:rFonts w:ascii="仿宋_GB2312" w:hAnsi="仿宋" w:eastAsia="仿宋_GB2312"/>
          <w:color w:val="auto"/>
          <w:sz w:val="32"/>
          <w:szCs w:val="32"/>
        </w:rPr>
      </w:pPr>
    </w:p>
    <w:p>
      <w:pPr>
        <w:wordWrap w:val="0"/>
        <w:spacing w:line="560" w:lineRule="atLeast"/>
        <w:rPr>
          <w:rFonts w:ascii="仿宋_GB2312" w:hAnsi="仿宋" w:eastAsia="仿宋_GB2312"/>
          <w:color w:val="auto"/>
          <w:sz w:val="32"/>
          <w:szCs w:val="32"/>
        </w:rPr>
      </w:pPr>
    </w:p>
    <w:p>
      <w:pPr>
        <w:wordWrap w:val="0"/>
        <w:spacing w:line="560" w:lineRule="atLeast"/>
        <w:rPr>
          <w:rFonts w:ascii="仿宋_GB2312" w:hAnsi="仿宋" w:eastAsia="仿宋_GB2312"/>
          <w:color w:val="auto"/>
          <w:sz w:val="32"/>
          <w:szCs w:val="32"/>
        </w:rPr>
      </w:pPr>
    </w:p>
    <w:p>
      <w:pPr>
        <w:wordWrap w:val="0"/>
        <w:spacing w:line="560" w:lineRule="atLeast"/>
        <w:ind w:firstLine="800" w:firstLineChars="250"/>
        <w:jc w:val="right"/>
        <w:rPr>
          <w:rFonts w:ascii="仿宋_GB2312" w:hAnsi="仿宋" w:eastAsia="仿宋_GB2312"/>
          <w:color w:val="auto"/>
          <w:sz w:val="32"/>
          <w:szCs w:val="32"/>
        </w:rPr>
      </w:pPr>
      <w:r>
        <w:rPr>
          <w:rFonts w:hint="eastAsia" w:ascii="仿宋_GB2312" w:hAnsi="仿宋" w:eastAsia="仿宋_GB2312"/>
          <w:color w:val="auto"/>
          <w:sz w:val="32"/>
          <w:szCs w:val="32"/>
        </w:rPr>
        <w:t xml:space="preserve">董嘉仪     </w:t>
      </w:r>
    </w:p>
    <w:p>
      <w:pPr>
        <w:wordWrap w:val="0"/>
        <w:spacing w:line="560" w:lineRule="atLeast"/>
        <w:jc w:val="right"/>
        <w:rPr>
          <w:rFonts w:ascii="仿宋_GB2312" w:hAnsi="仿宋" w:eastAsia="仿宋_GB2312"/>
          <w:color w:val="auto"/>
          <w:sz w:val="32"/>
          <w:szCs w:val="32"/>
        </w:rPr>
      </w:pPr>
      <w:r>
        <w:rPr>
          <w:rFonts w:hint="eastAsia" w:ascii="仿宋_GB2312" w:hAnsi="仿宋" w:eastAsia="仿宋_GB2312"/>
          <w:color w:val="auto"/>
          <w:sz w:val="32"/>
          <w:szCs w:val="32"/>
        </w:rPr>
        <w:t>2018年10月8日</w:t>
      </w:r>
    </w:p>
    <w:p>
      <w:pPr>
        <w:wordWrap w:val="0"/>
        <w:spacing w:line="560" w:lineRule="atLeast"/>
        <w:jc w:val="right"/>
        <w:rPr>
          <w:rFonts w:ascii="仿宋_GB2312" w:hAnsi="仿宋" w:eastAsia="仿宋_GB2312"/>
          <w:sz w:val="32"/>
          <w:szCs w:val="32"/>
        </w:rPr>
      </w:pPr>
      <w:bookmarkStart w:id="0" w:name="_GoBack"/>
      <w:bookmarkEnd w:id="0"/>
    </w:p>
    <w:sectPr>
      <w:pgSz w:w="11906" w:h="16838"/>
      <w:pgMar w:top="1440" w:right="1588" w:bottom="1440" w:left="158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FZFangSong-Z02">
    <w:altName w:val="Arial"/>
    <w:panose1 w:val="00000000000000000000"/>
    <w:charset w:val="00"/>
    <w:family w:val="swiss"/>
    <w:pitch w:val="default"/>
    <w:sig w:usb0="00000000" w:usb1="0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85408"/>
    <w:rsid w:val="00132F39"/>
    <w:rsid w:val="001D3FE2"/>
    <w:rsid w:val="00281B9D"/>
    <w:rsid w:val="002F288B"/>
    <w:rsid w:val="00492558"/>
    <w:rsid w:val="007B7C75"/>
    <w:rsid w:val="007C5F47"/>
    <w:rsid w:val="007D7768"/>
    <w:rsid w:val="00806645"/>
    <w:rsid w:val="008562E9"/>
    <w:rsid w:val="00943D38"/>
    <w:rsid w:val="00A06781"/>
    <w:rsid w:val="00A26E20"/>
    <w:rsid w:val="00AC57EB"/>
    <w:rsid w:val="00C43E6D"/>
    <w:rsid w:val="00CB3C4B"/>
    <w:rsid w:val="00D56713"/>
    <w:rsid w:val="00E4098A"/>
    <w:rsid w:val="00E71EB6"/>
    <w:rsid w:val="00E76346"/>
    <w:rsid w:val="00ED3A68"/>
    <w:rsid w:val="00F7385D"/>
    <w:rsid w:val="00F85408"/>
    <w:rsid w:val="0BCB5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adjustRightInd w:val="0"/>
    </w:pPr>
    <w:rPr>
      <w:rFonts w:ascii="FZFangSong-Z02" w:hAnsi="FZFangSong-Z02" w:eastAsia="宋体" w:cs="FZFangSong-Z02"/>
      <w:color w:val="000000"/>
      <w:sz w:val="24"/>
      <w:szCs w:val="24"/>
      <w:lang w:val="en-US" w:eastAsia="zh-CN" w:bidi="ar-SA"/>
    </w:rPr>
  </w:style>
  <w:style w:type="paragraph" w:styleId="3">
    <w:name w:val="Balloon Text"/>
    <w:basedOn w:val="1"/>
    <w:link w:val="10"/>
    <w:semiHidden/>
    <w:unhideWhenUsed/>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6"/>
    <w:link w:val="5"/>
    <w:semiHidden/>
    <w:qFormat/>
    <w:uiPriority w:val="99"/>
    <w:rPr>
      <w:sz w:val="18"/>
      <w:szCs w:val="18"/>
    </w:rPr>
  </w:style>
  <w:style w:type="character" w:customStyle="1" w:styleId="9">
    <w:name w:val="页脚 Char"/>
    <w:basedOn w:val="6"/>
    <w:link w:val="4"/>
    <w:semiHidden/>
    <w:qFormat/>
    <w:uiPriority w:val="99"/>
    <w:rPr>
      <w:sz w:val="18"/>
      <w:szCs w:val="18"/>
    </w:rPr>
  </w:style>
  <w:style w:type="character" w:customStyle="1" w:styleId="10">
    <w:name w:val="批注框文本 Char"/>
    <w:basedOn w:val="6"/>
    <w:link w:val="3"/>
    <w:semiHidden/>
    <w:uiPriority w:val="99"/>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4A36E9F-1A0C-4EC6-AA17-4ACA372ABB49}">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5</Pages>
  <Words>374</Words>
  <Characters>2135</Characters>
  <Lines>17</Lines>
  <Paragraphs>5</Paragraphs>
  <TotalTime>0</TotalTime>
  <ScaleCrop>false</ScaleCrop>
  <LinksUpToDate>false</LinksUpToDate>
  <CharactersWithSpaces>2504</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2018-09-28T15:27:00Z</dcterms:created>
  <dc:creator>yc</dc:creator>
  <cp:lastModifiedBy>lenovo</cp:lastModifiedBy>
  <cp:lastPrinted>2018-09-28T08:37:00Z</cp:lastPrinted>
  <dcterms:modified xsi:type="dcterms:W3CDTF">2018-12-18T01:50:07Z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