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60" w:lineRule="exact"/>
        <w:jc w:val="center"/>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2018年环境执法大练兵先进个人事迹材料</w:t>
      </w:r>
    </w:p>
    <w:p>
      <w:pPr>
        <w:spacing w:after="312" w:afterLines="100"/>
        <w:jc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西安市环境监察支队        刘 鑫</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刘鑫，男，汉族，1993年10月出生，2015年毕业于中国石油大学（北京）环境科学专业，获理学学士学位。同年9月参加工作，一直从事污染源现场检查、排污单位日常监管、环境违法行为查处等工作，现任西安市环境监察支队环境监察科员，具有较强的业务能力和敬业奉献意识。</w:t>
      </w:r>
    </w:p>
    <w:p>
      <w:pPr>
        <w:numPr>
          <w:ilvl w:val="0"/>
          <w:numId w:val="1"/>
        </w:numPr>
        <w:ind w:firstLine="640" w:firstLineChars="200"/>
        <w:jc w:val="left"/>
        <w:rPr>
          <w:rFonts w:hint="eastAsia" w:ascii="黑体" w:hAnsi="黑体" w:eastAsia="黑体" w:cs="黑体"/>
          <w:color w:val="auto"/>
          <w:sz w:val="32"/>
          <w:szCs w:val="32"/>
        </w:rPr>
      </w:pPr>
      <w:r>
        <w:rPr>
          <w:rFonts w:hint="eastAsia" w:ascii="黑体" w:hAnsi="黑体" w:eastAsia="黑体" w:cs="黑体"/>
          <w:color w:val="auto"/>
          <w:sz w:val="32"/>
          <w:szCs w:val="32"/>
        </w:rPr>
        <w:t>四讲四有，践行社会主义</w:t>
      </w:r>
      <w:r>
        <w:rPr>
          <w:rFonts w:hint="eastAsia" w:ascii="黑体" w:hAnsi="黑体" w:eastAsia="黑体" w:cs="黑体"/>
          <w:color w:val="auto"/>
          <w:sz w:val="32"/>
          <w:szCs w:val="32"/>
          <w:lang w:val="en-US" w:eastAsia="zh-CN"/>
        </w:rPr>
        <w:t>核心</w:t>
      </w:r>
      <w:r>
        <w:rPr>
          <w:rFonts w:hint="eastAsia" w:ascii="黑体" w:hAnsi="黑体" w:eastAsia="黑体" w:cs="黑体"/>
          <w:color w:val="auto"/>
          <w:sz w:val="32"/>
          <w:szCs w:val="32"/>
        </w:rPr>
        <w:t>价值观</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作为入党积极分子，一直主动向党组织靠拢，拥护党的领导，接受党的指挥，维护党的权威。工作以来，认真学习党的十八届五中全会、六中全会和党的十九大精神，始终将新时代中国特色社会主义思想作为自己的行动指南，积极参与“三严三实”“两学一做”等学习教育和精准扶贫工作。立足本职岗位，坚持节约资源和保护环境的基本国策，深入生态文明建设主战场和污染防治攻坚第一线，秉承“五星级店小二”的服务精神，帮助排污单位树立“绿水青山就是金山银山”的发展理念，监督其履行环境保护主体责任。</w:t>
      </w:r>
    </w:p>
    <w:p>
      <w:pPr>
        <w:numPr>
          <w:ilvl w:val="0"/>
          <w:numId w:val="1"/>
        </w:numPr>
        <w:ind w:firstLine="640" w:firstLineChars="200"/>
        <w:jc w:val="left"/>
        <w:rPr>
          <w:rFonts w:hint="eastAsia" w:ascii="黑体" w:hAnsi="黑体" w:eastAsia="黑体" w:cs="黑体"/>
          <w:color w:val="auto"/>
          <w:sz w:val="32"/>
          <w:szCs w:val="32"/>
        </w:rPr>
      </w:pPr>
      <w:r>
        <w:rPr>
          <w:rFonts w:hint="eastAsia" w:ascii="黑体" w:hAnsi="黑体" w:eastAsia="黑体" w:cs="黑体"/>
          <w:color w:val="auto"/>
          <w:sz w:val="32"/>
          <w:szCs w:val="32"/>
        </w:rPr>
        <w:t>爱岗敬业，落实生态环境保护理念</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在污染防治攻坚战、蓝天保卫战中奋勇争先，以群众的生态环境利益为己任，以群众的生活环境需要为目标，夜以继日，严格落实中、省、市在生态环境保护方面的各项部署。先后作为信访督办专员参与了“中央环保督察”“中央环保督察回头望”“陕西省委环保督察”等督察工作，积极解决群众环境诉求，直接查办了多起反响强烈的环境问题。牵头污染因子复杂、治理难度高的重点排污单位环境监管工作，每月深入排污单位十余次，现场检查重大污染防治设施运行情况，巡查扬尘、噪声等小微环节污染防治情况。负责工业污染源全面达标排放工作，针对钢铁、水泥、火电、造纸等18个重点行业开展环境隐患治理，建立问题清单，坚持“不查清不放过、不整改不放过、长效机制不建立不放过”的原则，为环境质量改善保驾护航。参与突出环境问题整治的重要任务，建立涉及497家排污单位，515个环境问题的任务清单，亲自跟踪回访27个环境问题的整改工作，和排污单位一起找漏洞、想办法，在他的努力下，排污单位遵纪守法的观念取得较大提升，相关问题均按期整改到位。</w:t>
      </w:r>
    </w:p>
    <w:p>
      <w:pPr>
        <w:numPr>
          <w:ilvl w:val="0"/>
          <w:numId w:val="1"/>
        </w:numPr>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rPr>
        <w:t xml:space="preserve">铁腕执法，打击震慑环境违法行为 </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随着群众对美好环境的需求不断增长，始终保持勤学善思的优良作风，向企业学、向同事学、向上级学、向法律学，从现状思考、从实践思考、从案例思考。他不断加强对《环保法》及四个配套办法，《行政处罚法》《大气污染防治法》《水污染防治法》《固体废物污染环境防治法》等法律法规的探索研究与实践应用，时刻铭记“依法行政”这一准则，练就了以违法条款为依据，倒查倒追违法行为的过硬本领。自工作以来直接查处环境违法行为30余件，累计罚没300余万元。仅2018年，直接查处违法行为16起，下发行政处罚决定书13份，罚没140余万元。</w:t>
      </w:r>
    </w:p>
    <w:p>
      <w:pPr>
        <w:ind w:firstLine="640" w:firstLineChars="200"/>
        <w:rPr>
          <w:rFonts w:hint="eastAsia" w:ascii="仿宋_GB2312" w:hAnsi="方正仿宋简体" w:eastAsia="仿宋_GB2312"/>
          <w:color w:val="auto"/>
          <w:spacing w:val="10"/>
          <w:sz w:val="24"/>
        </w:rPr>
      </w:pPr>
      <w:r>
        <w:rPr>
          <w:rFonts w:hint="eastAsia" w:ascii="仿宋_GB2312" w:hAnsi="仿宋_GB2312" w:eastAsia="仿宋_GB2312" w:cs="仿宋_GB2312"/>
          <w:color w:val="auto"/>
          <w:sz w:val="32"/>
          <w:szCs w:val="32"/>
        </w:rPr>
        <w:t>2018年3月8日按照铁腕治霾、保卫蓝天的工作要求，他怀着站好供暖季最后一班岗的精神，对西安市热力总公司下属的太华供热公司开展涉气全面检查，检查中指出该公司煤场周边扬尘污染防治的隐患，强调对进出煤场车辆加强冲洗，随后要求供热公司员工现场见证，全程录像取证，委托第三方机构采集该公司在用燃煤并带回检测。根据检测结果，燃煤样本燃煤全硫0.59%，超出了陕西省地方标准《工业及民用燃煤》（DB 61 1099-2017）规定0.5%的全硫限值。按照修订后的《大气污染防治法》“燃用不符合质量标准的煤炭、石油焦的，由县级以上人民政府环境保护主管部门责令改正，处货值金额一倍以上三倍以下的罚款”的规定，他首先依据《西安市环境保护局行政处罚自由裁量权执行标准》结合涉案单位煤质超标倍数，通过集体合议确定了货值金额一倍罚款的处罚基准，之后要求涉案单位提供燃煤采购合同、燃煤过磅单等佐证材料，先后确定了燃煤单价及总量。期间涉案单位提出采购合同载明的单价中包含运输费用和燃煤采购税，为确保货值金额认定无漏洞，他查阅了《</w:t>
      </w:r>
      <w:r>
        <w:rPr>
          <w:rFonts w:ascii="仿宋_GB2312" w:hAnsi="仿宋_GB2312" w:eastAsia="仿宋_GB2312" w:cs="仿宋_GB2312"/>
          <w:color w:val="auto"/>
          <w:sz w:val="32"/>
          <w:szCs w:val="32"/>
        </w:rPr>
        <w:t>中华人民共和国增值税暂行条例</w:t>
      </w:r>
      <w:r>
        <w:rPr>
          <w:rFonts w:hint="eastAsia" w:ascii="仿宋_GB2312" w:hAnsi="仿宋_GB2312" w:eastAsia="仿宋_GB2312" w:cs="仿宋_GB2312"/>
          <w:color w:val="auto"/>
          <w:sz w:val="32"/>
          <w:szCs w:val="32"/>
        </w:rPr>
        <w:t>》《财政部 国家税务总局关于金属矿</w:t>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HYPERLINK "https://www.baidu.com/s?wd=%E9%9D%9E%E9%87%91%E5%B1%9E%E7%9F%BF&amp;tn=SE_PcZhidaonwhc_ngpagmjz&amp;rsv_dl=gh_pc_zhidao" \t "https://zhidao.baidu.com/question/_blank" </w:instrText>
      </w:r>
      <w:r>
        <w:rPr>
          <w:rFonts w:hint="eastAsia" w:ascii="仿宋_GB2312" w:hAnsi="仿宋_GB2312" w:eastAsia="仿宋_GB2312" w:cs="仿宋_GB2312"/>
          <w:color w:val="auto"/>
          <w:sz w:val="32"/>
          <w:szCs w:val="32"/>
        </w:rPr>
        <w:fldChar w:fldCharType="separate"/>
      </w:r>
      <w:r>
        <w:rPr>
          <w:rFonts w:ascii="仿宋_GB2312" w:hAnsi="仿宋_GB2312" w:eastAsia="仿宋_GB2312" w:cs="仿宋_GB2312"/>
          <w:color w:val="auto"/>
          <w:sz w:val="32"/>
          <w:szCs w:val="32"/>
        </w:rPr>
        <w:t>非金属矿</w:t>
      </w:r>
      <w:r>
        <w:rPr>
          <w:rFonts w:ascii="仿宋_GB2312" w:hAnsi="仿宋_GB2312" w:eastAsia="仿宋_GB2312" w:cs="仿宋_GB2312"/>
          <w:color w:val="auto"/>
          <w:sz w:val="32"/>
          <w:szCs w:val="32"/>
        </w:rPr>
        <w:fldChar w:fldCharType="end"/>
      </w:r>
      <w:r>
        <w:rPr>
          <w:rFonts w:hint="eastAsia" w:ascii="仿宋_GB2312" w:hAnsi="仿宋_GB2312" w:eastAsia="仿宋_GB2312" w:cs="仿宋_GB2312"/>
          <w:color w:val="auto"/>
          <w:sz w:val="32"/>
          <w:szCs w:val="32"/>
        </w:rPr>
        <w:t>采选产品增值税税率的通知》等规范文件，确定并在货值金额中国去除了17%的煤炭交易增值税。通过严谨的核算，此次煤质超标行政处罚决定获得领导和涉案单位的一致认可，涉案单位积极改正违法行为、足额缴纳了罚款。</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2018年4月17日为落实剿劣水三年行动方案，严密盯防沿河涉水排污单位，他对位于西安市临潼区的陕鼓水务有限公司进行了一次突击检查。为防止排污单位得知检查消息后采取临时开启设备、紧急添加药剂等应付检查的行为，他利用自身熟悉周边环境这一优势，带领环境检测人员从排污单位围墙外绕行前往其排入河道的废水总排放口。在总排放口由环境检测人员采集水样，而他则通过执法记录仪对周边环境、执法人员、采样人员、采样点位进行了详细的记录取证，并在采样结束后通知排污单位赶赴现场对采样情况进行确认。根据《检测报告》该单位排放污水中粪大肠菌群浓度为35000个/L，总氮浓度为19.1mg/L，均超出《城镇污水处理厂污染物排放标准》规定的排放限值，这一违法事实充分验证了不打招呼、直奔现场在环境执法中的巨大作用，有效震慑了排污单位应付检查、逃避监管的不法行为。对违反《水污染防治法》的行为，涉案单位以“消毒设备故障，已联系厂家更换，通过整改已达标排放，经营困难长期亏损”等理由，提出撤销或减轻行政处罚的申辩意见，他根据涉案单位二氧化氯出水消毒的工艺，针对性提出当二氧化氯发生器故障时，可以临时采取人工投加次氯酸钠的方式予以消毒，涉案单位在设备故障过程时应急措施不完善，违法事实清楚、证据确凿，申辩理由不成立的观点，坚持作出行政处罚决定。之后在对违法行为改正情况进行复查时，又结合法律法规对涉案单位进行了劝诫，在他细致全面的工作下，涉案单位最终履行行政处罚决定，经复测水污染物达标排放。</w:t>
      </w:r>
    </w:p>
    <w:p>
      <w:pPr>
        <w:ind w:firstLine="640" w:firstLineChars="200"/>
        <w:jc w:val="left"/>
        <w:rPr>
          <w:rFonts w:hint="eastAsia" w:ascii="黑体" w:hAnsi="黑体" w:eastAsia="黑体" w:cs="黑体"/>
          <w:color w:val="auto"/>
          <w:sz w:val="32"/>
          <w:szCs w:val="32"/>
        </w:rPr>
      </w:pPr>
      <w:r>
        <w:rPr>
          <w:rFonts w:hint="eastAsia" w:ascii="黑体" w:hAnsi="黑体" w:eastAsia="黑体" w:cs="黑体"/>
          <w:color w:val="auto"/>
          <w:sz w:val="32"/>
          <w:szCs w:val="32"/>
        </w:rPr>
        <w:t>四、崇廉拒腐，恪守清正廉洁自律红线</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严格按照“忠诚干净担当”要求，以《中国共产党章程》为根本，以《中国共产党廉洁自律准则》为准绳，不断用党的廉政理论武装头脑，立身不忘做人之本、为政不移公仆之心、用权不谋一己之私，保持共产党人的光辉本色，清白做人，干净做事。在与排污单位的接触中坚持公道正派，时刻注意环境监察人员形象，认真履行廉洁奉公各项义务，始终保持对党的事业追求之心，始终保持对党的纪律敬畏之心，工作以来未出现违法党纪党规和廉政方面的问题。</w:t>
      </w:r>
    </w:p>
    <w:p>
      <w:pPr>
        <w:ind w:firstLine="640" w:firstLineChars="200"/>
        <w:jc w:val="both"/>
        <w:rPr>
          <w:rFonts w:hint="eastAsia" w:ascii="仿宋_GB2312" w:hAnsi="仿宋_GB2312" w:eastAsia="仿宋_GB2312" w:cs="仿宋_GB2312"/>
          <w:sz w:val="32"/>
          <w:szCs w:val="32"/>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仿宋简体">
    <w:altName w:val="微软雅黑"/>
    <w:panose1 w:val="02010601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FZFangSong-Z02">
    <w:altName w:val="Arial"/>
    <w:panose1 w:val="00000000000000000000"/>
    <w:charset w:val="00"/>
    <w:family w:val="swiss"/>
    <w:pitch w:val="default"/>
    <w:sig w:usb0="00000000" w:usb1="00000000" w:usb2="00000000" w:usb3="00000000" w:csb0="00000001" w:csb1="00000000"/>
  </w:font>
  <w:font w:name="方正仿宋简体">
    <w:altName w:val="Times New Roman"/>
    <w:panose1 w:val="00000000000000000000"/>
    <w:charset w:val="00"/>
    <w:family w:val="auto"/>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0C014"/>
    <w:multiLevelType w:val="singleLevel"/>
    <w:tmpl w:val="5470C014"/>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A560C0"/>
    <w:rsid w:val="0C756BC0"/>
    <w:rsid w:val="232F0087"/>
    <w:rsid w:val="2B99378D"/>
    <w:rsid w:val="47960BEA"/>
    <w:rsid w:val="53534151"/>
    <w:rsid w:val="6412406D"/>
    <w:rsid w:val="7EB873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lenovo</cp:lastModifiedBy>
  <dcterms:modified xsi:type="dcterms:W3CDTF">2018-12-18T02:25:43Z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