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s="黑体"/>
          <w:color w:val="333333"/>
          <w:kern w:val="0"/>
          <w:sz w:val="36"/>
          <w:szCs w:val="36"/>
          <w:shd w:val="clear" w:color="auto" w:fill="FFFFFF"/>
        </w:rPr>
      </w:pPr>
      <w:bookmarkStart w:id="0" w:name="_GoBack"/>
      <w:r>
        <w:rPr>
          <w:rFonts w:hint="eastAsia" w:ascii="黑体" w:hAnsi="黑体" w:eastAsia="黑体" w:cs="黑体"/>
          <w:color w:val="333333"/>
          <w:kern w:val="0"/>
          <w:sz w:val="36"/>
          <w:szCs w:val="36"/>
          <w:shd w:val="clear" w:color="auto" w:fill="FFFFFF"/>
        </w:rPr>
        <w:t>邯郸市峰峰矿区环境监察大队</w:t>
      </w:r>
      <w:bookmarkEnd w:id="0"/>
    </w:p>
    <w:p>
      <w:pPr>
        <w:widowControl/>
        <w:jc w:val="center"/>
        <w:rPr>
          <w:rFonts w:ascii="黑体" w:hAnsi="黑体" w:eastAsia="黑体" w:cs="黑体"/>
          <w:kern w:val="0"/>
          <w:sz w:val="36"/>
          <w:szCs w:val="36"/>
        </w:rPr>
      </w:pPr>
      <w:r>
        <w:rPr>
          <w:rFonts w:hint="eastAsia" w:ascii="黑体" w:hAnsi="黑体" w:eastAsia="黑体" w:cs="黑体"/>
          <w:color w:val="333333"/>
          <w:kern w:val="0"/>
          <w:sz w:val="36"/>
          <w:szCs w:val="36"/>
          <w:shd w:val="clear" w:color="auto" w:fill="FFFFFF"/>
        </w:rPr>
        <w:t>环境执法大练兵先进集体申报材料</w:t>
      </w:r>
    </w:p>
    <w:p>
      <w:pPr>
        <w:widowControl/>
        <w:jc w:val="left"/>
        <w:rPr>
          <w:rFonts w:ascii="宋体" w:hAnsi="宋体" w:cs="宋体"/>
          <w:kern w:val="0"/>
          <w:sz w:val="24"/>
          <w:szCs w:val="24"/>
        </w:rPr>
      </w:pPr>
    </w:p>
    <w:p>
      <w:pPr>
        <w:spacing w:line="360" w:lineRule="auto"/>
        <w:ind w:firstLine="640" w:firstLineChars="200"/>
        <w:rPr>
          <w:rFonts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我监察大队严格按照邯郸市环境保护局《关于开展2018年环境执法大练兵的通知》[邯环字（2018）217号]要求，不断转变工作作风，着力规范执法行为，切实加大执法力度，将环境执法作为环保监察执法部门的立足之本,致力于打造最严环保执法县区。</w:t>
      </w:r>
    </w:p>
    <w:p>
      <w:pPr>
        <w:spacing w:line="360" w:lineRule="auto"/>
        <w:ind w:firstLine="643" w:firstLineChars="200"/>
        <w:rPr>
          <w:rFonts w:ascii="仿宋" w:hAnsi="仿宋" w:eastAsia="仿宋" w:cs="仿宋"/>
          <w:b/>
          <w:bCs/>
          <w:color w:val="333333"/>
          <w:sz w:val="32"/>
          <w:szCs w:val="32"/>
          <w:shd w:val="clear" w:color="auto" w:fill="FFFFFF"/>
        </w:rPr>
      </w:pPr>
      <w:r>
        <w:rPr>
          <w:rFonts w:hint="eastAsia" w:ascii="仿宋" w:hAnsi="仿宋" w:eastAsia="仿宋" w:cs="仿宋"/>
          <w:b/>
          <w:bCs/>
          <w:color w:val="333333"/>
          <w:sz w:val="32"/>
          <w:szCs w:val="32"/>
          <w:shd w:val="clear" w:color="auto" w:fill="FFFFFF"/>
        </w:rPr>
        <w:t>一、提高环境执法队伍能力</w:t>
      </w:r>
    </w:p>
    <w:p>
      <w:pPr>
        <w:spacing w:line="360" w:lineRule="auto"/>
        <w:ind w:firstLine="640" w:firstLineChars="200"/>
        <w:rPr>
          <w:rFonts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加强执法规范性建设，苦练执法内功。一是加强培训，2018年以来共组织开展执法培训20余次，同时安排执法人员参加环保部及环保厅组织的各类执法培训，并要求培训归来的同志作为“老师”对全部执法人员进行讲解并共同探讨学习。二是聘请法律顾问，为进一步加大行政处罚案件，规范执法，监察大队多次聘请河北马倍战律师事务所法律顾问对执法人员进行专项培训。三是建立环境执法交流微信群，便于执法人员现场执法有疑问共同探讨，共同学习。</w:t>
      </w:r>
    </w:p>
    <w:p>
      <w:pPr>
        <w:spacing w:line="360" w:lineRule="auto"/>
        <w:ind w:firstLine="643" w:firstLineChars="200"/>
        <w:rPr>
          <w:rFonts w:ascii="仿宋" w:hAnsi="仿宋" w:eastAsia="仿宋" w:cs="仿宋"/>
          <w:b/>
          <w:bCs/>
          <w:color w:val="333333"/>
          <w:sz w:val="32"/>
          <w:szCs w:val="32"/>
          <w:shd w:val="clear" w:color="auto" w:fill="FFFFFF"/>
        </w:rPr>
      </w:pPr>
      <w:r>
        <w:rPr>
          <w:rFonts w:hint="eastAsia" w:ascii="仿宋" w:hAnsi="仿宋" w:eastAsia="仿宋" w:cs="仿宋"/>
          <w:b/>
          <w:bCs/>
          <w:color w:val="333333"/>
          <w:sz w:val="32"/>
          <w:szCs w:val="32"/>
          <w:shd w:val="clear" w:color="auto" w:fill="FFFFFF"/>
        </w:rPr>
        <w:t>二、环境执法攻坚成绩突出</w:t>
      </w:r>
    </w:p>
    <w:p>
      <w:pPr>
        <w:spacing w:line="360" w:lineRule="auto"/>
        <w:ind w:firstLine="640" w:firstLineChars="200"/>
        <w:rPr>
          <w:rFonts w:ascii="仿宋" w:hAnsi="仿宋" w:eastAsia="仿宋"/>
          <w:sz w:val="32"/>
          <w:szCs w:val="32"/>
        </w:rPr>
      </w:pPr>
      <w:r>
        <w:rPr>
          <w:rFonts w:hint="eastAsia" w:ascii="仿宋" w:hAnsi="仿宋" w:eastAsia="仿宋" w:cs="仿宋"/>
          <w:color w:val="333333"/>
          <w:sz w:val="32"/>
          <w:szCs w:val="32"/>
          <w:shd w:val="clear" w:color="auto" w:fill="FFFFFF"/>
        </w:rPr>
        <w:t>监察大队将大练兵活动与日常执法监管相结合，与各项专项执法检查、群众举报相结合，依法严厉查处各类环境违法行为。截止目前，共查处环境违法案件95件（其中包括上级交办13件，按日处罚2件，信访举报3件，检查发现77件），</w:t>
      </w:r>
      <w:r>
        <w:rPr>
          <w:rFonts w:hint="eastAsia" w:ascii="仿宋" w:hAnsi="仿宋" w:eastAsia="仿宋"/>
          <w:sz w:val="32"/>
          <w:szCs w:val="32"/>
        </w:rPr>
        <w:t>移交移送案件1件。</w:t>
      </w:r>
      <w:r>
        <w:rPr>
          <w:rFonts w:hint="eastAsia" w:ascii="仿宋" w:hAnsi="仿宋" w:eastAsia="仿宋" w:cs="仿宋"/>
          <w:color w:val="333333"/>
          <w:sz w:val="32"/>
          <w:szCs w:val="32"/>
          <w:shd w:val="clear" w:color="auto" w:fill="FFFFFF"/>
        </w:rPr>
        <w:t>施行政处罚总额506于万元，均已全部结案并录入“</w:t>
      </w:r>
      <w:r>
        <w:rPr>
          <w:rFonts w:hint="eastAsia" w:ascii="仿宋" w:hAnsi="仿宋" w:eastAsia="仿宋"/>
          <w:sz w:val="32"/>
          <w:szCs w:val="32"/>
        </w:rPr>
        <w:t>环境行政处罚案件办理信息系统”。</w:t>
      </w:r>
    </w:p>
    <w:p>
      <w:pPr>
        <w:spacing w:line="360" w:lineRule="auto"/>
        <w:ind w:firstLine="643" w:firstLineChars="200"/>
        <w:rPr>
          <w:rFonts w:ascii="仿宋" w:hAnsi="仿宋" w:eastAsia="仿宋" w:cs="仿宋"/>
          <w:b/>
          <w:bCs/>
          <w:color w:val="333333"/>
          <w:sz w:val="32"/>
          <w:szCs w:val="32"/>
          <w:shd w:val="clear" w:color="auto" w:fill="FFFFFF"/>
        </w:rPr>
      </w:pPr>
      <w:r>
        <w:rPr>
          <w:rFonts w:hint="eastAsia" w:ascii="仿宋" w:hAnsi="仿宋" w:eastAsia="仿宋" w:cs="仿宋"/>
          <w:b/>
          <w:bCs/>
          <w:color w:val="333333"/>
          <w:sz w:val="32"/>
          <w:szCs w:val="32"/>
          <w:shd w:val="clear" w:color="auto" w:fill="FFFFFF"/>
        </w:rPr>
        <w:t>三、环境专项执法情况</w:t>
      </w:r>
    </w:p>
    <w:p>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（一）认真组织开展中央环境保护督查组交办群众举报问题“回头看”行动。</w:t>
      </w:r>
    </w:p>
    <w:p>
      <w:pPr>
        <w:pStyle w:val="4"/>
        <w:widowControl/>
        <w:spacing w:before="75" w:beforeAutospacing="0" w:after="75" w:afterAutospacing="0" w:line="420" w:lineRule="atLeast"/>
        <w:ind w:firstLine="640" w:firstLineChars="200"/>
        <w:rPr>
          <w:rFonts w:ascii="微软雅黑" w:hAnsi="微软雅黑" w:eastAsia="微软雅黑" w:cs="微软雅黑"/>
          <w:color w:val="333333"/>
          <w:szCs w:val="24"/>
        </w:rPr>
      </w:pPr>
      <w:r>
        <w:rPr>
          <w:rFonts w:hint="eastAsia" w:ascii="仿宋" w:hAnsi="仿宋" w:eastAsia="仿宋" w:cs="宋体"/>
          <w:sz w:val="32"/>
          <w:szCs w:val="32"/>
        </w:rPr>
        <w:t>根据2017年省委、省政府环境保护督查组交办举报问题清单，涉及峰峰矿区共37件，监察大队执法人员依次对涉及的37件举报问题进行检查并按照相关法律依法查处，同时联合各乡镇二级网格工作人员对37项问题进行多次现场核查，均已整改到位，无一例反弹。</w:t>
      </w:r>
    </w:p>
    <w:p>
      <w:pPr>
        <w:spacing w:line="360" w:lineRule="auto"/>
        <w:ind w:firstLine="320" w:firstLineChars="100"/>
        <w:rPr>
          <w:rFonts w:ascii="仿宋" w:hAnsi="仿宋" w:eastAsia="仿宋" w:cs="宋体"/>
          <w:sz w:val="32"/>
          <w:szCs w:val="32"/>
        </w:rPr>
      </w:pPr>
      <w:r>
        <w:rPr>
          <w:rFonts w:hint="eastAsia" w:ascii="仿宋" w:hAnsi="仿宋" w:eastAsia="仿宋" w:cs="宋体"/>
          <w:sz w:val="32"/>
          <w:szCs w:val="32"/>
        </w:rPr>
        <w:t>（二）严格执行“双随机”抽查工作</w:t>
      </w:r>
    </w:p>
    <w:p>
      <w:pPr>
        <w:spacing w:line="360" w:lineRule="auto"/>
        <w:rPr>
          <w:rFonts w:ascii="仿宋" w:hAnsi="仿宋" w:eastAsia="仿宋" w:cs="宋体"/>
          <w:sz w:val="32"/>
          <w:szCs w:val="32"/>
        </w:rPr>
      </w:pPr>
      <w:r>
        <w:rPr>
          <w:rFonts w:hint="eastAsia" w:ascii="仿宋" w:hAnsi="仿宋" w:eastAsia="仿宋" w:cs="宋体"/>
          <w:sz w:val="32"/>
          <w:szCs w:val="32"/>
        </w:rPr>
        <w:t xml:space="preserve">    全区纳入双随机系统的577家排污单位做为随机抽查对象，其中一般排污单位432家，重点排污单位24家，特殊排污单位13家，我局“双随机” 共抽取企业537家，指定派出执法任务7家，均能依法依规按时完成交办任务，并将检查结果全部录入到“河北省污染源日常监管双随机抽查系统”。</w:t>
      </w:r>
    </w:p>
    <w:p>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（三）积极开展“零点行动”突击检查</w:t>
      </w:r>
    </w:p>
    <w:p>
      <w:pPr>
        <w:spacing w:line="360" w:lineRule="auto"/>
        <w:ind w:left="210" w:leftChars="100" w:firstLine="640" w:firstLineChars="200"/>
        <w:rPr>
          <w:rFonts w:ascii="仿宋" w:hAnsi="仿宋" w:eastAsia="仿宋" w:cs="宋体"/>
          <w:sz w:val="32"/>
          <w:szCs w:val="32"/>
        </w:rPr>
      </w:pPr>
      <w:r>
        <w:rPr>
          <w:rFonts w:hint="eastAsia" w:ascii="仿宋" w:hAnsi="仿宋" w:eastAsia="仿宋" w:cs="宋体"/>
          <w:sz w:val="32"/>
          <w:szCs w:val="32"/>
        </w:rPr>
        <w:t>监察大队把“零点行动”突击检查作为于日常监管相结合的一种常态化检查，并不定时的临时抽取组建执法组，随机抽取被检查的污染源排放企业进行突击检查，发现违法问题严格依据相关法律立案查处，在重污染天气启动时，更是组建多组对重点涉气企业进行突击检查，通过“零点行动”突击检查震慑了企业存在的侥幸心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（四）参加省、市交叉执法检查，提高执法水平。</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省、市环保部门异地执法交叉检查，监察大队大力推荐执法人员参加异地执法检查，通过参加省、市环境执法检查，执法人员虚心向环保系统优秀同志学习检查不同行业的现场执法检查方式，有利的提高执法人员环境执法规范化和专业化水平。</w:t>
      </w:r>
    </w:p>
    <w:p>
      <w:pPr>
        <w:widowControl/>
        <w:ind w:firstLine="640" w:firstLineChars="200"/>
        <w:jc w:val="left"/>
        <w:rPr>
          <w:rFonts w:ascii="仿宋" w:hAnsi="仿宋" w:eastAsia="仿宋"/>
          <w:sz w:val="32"/>
          <w:szCs w:val="32"/>
        </w:rPr>
      </w:pPr>
      <w:r>
        <w:rPr>
          <w:rFonts w:hint="eastAsia" w:ascii="仿宋" w:hAnsi="仿宋" w:eastAsia="仿宋"/>
          <w:sz w:val="32"/>
          <w:szCs w:val="32"/>
        </w:rPr>
        <w:t>（五）环境信访维稳工作</w:t>
      </w:r>
    </w:p>
    <w:p>
      <w:pPr>
        <w:widowControl/>
        <w:ind w:left="210" w:leftChars="100" w:firstLine="640" w:firstLineChars="200"/>
        <w:jc w:val="left"/>
        <w:rPr>
          <w:rFonts w:ascii="仿宋" w:hAnsi="仿宋" w:eastAsia="仿宋"/>
          <w:sz w:val="32"/>
          <w:szCs w:val="32"/>
        </w:rPr>
      </w:pPr>
      <w:r>
        <w:rPr>
          <w:rFonts w:hint="eastAsia" w:ascii="仿宋" w:hAnsi="仿宋" w:eastAsia="仿宋"/>
          <w:sz w:val="32"/>
          <w:szCs w:val="32"/>
        </w:rPr>
        <w:t>今年以来,环境信访工作严格按照《信访条例》《环境信访办法》等有关法律法规规定,狠抓各项制度贯彻落实,不断完善创新工作机制和方法,一大批环境信访问题得到了有效解决。截至目前,共处理各类信访案件337余件,在规定时间内均已办结,办结率达100%,并全部达到满意要求,把群众的利益摆在首位。</w:t>
      </w:r>
    </w:p>
    <w:p>
      <w:pPr>
        <w:spacing w:line="360" w:lineRule="auto"/>
        <w:ind w:firstLine="643" w:firstLineChars="200"/>
        <w:rPr>
          <w:rFonts w:ascii="仿宋" w:hAnsi="仿宋" w:eastAsia="仿宋" w:cs="仿宋"/>
          <w:b/>
          <w:bCs/>
          <w:color w:val="333333"/>
          <w:sz w:val="32"/>
          <w:szCs w:val="32"/>
          <w:shd w:val="clear" w:color="auto" w:fill="FFFFFF"/>
        </w:rPr>
      </w:pPr>
      <w:r>
        <w:rPr>
          <w:rFonts w:hint="eastAsia" w:ascii="仿宋" w:hAnsi="仿宋" w:eastAsia="仿宋" w:cs="仿宋"/>
          <w:b/>
          <w:bCs/>
          <w:color w:val="333333"/>
          <w:sz w:val="32"/>
          <w:szCs w:val="32"/>
          <w:shd w:val="clear" w:color="auto" w:fill="FFFFFF"/>
        </w:rPr>
        <w:t>四、重点案件办理情况</w:t>
      </w:r>
    </w:p>
    <w:p>
      <w:pPr>
        <w:spacing w:line="360" w:lineRule="auto"/>
        <w:ind w:firstLine="640" w:firstLineChars="200"/>
        <w:rPr>
          <w:rFonts w:ascii="仿宋" w:hAnsi="仿宋" w:eastAsia="仿宋" w:cs="仿宋"/>
          <w:color w:val="333333"/>
          <w:sz w:val="32"/>
          <w:szCs w:val="32"/>
          <w:shd w:val="clear" w:color="auto" w:fill="FFFFFF"/>
        </w:rPr>
      </w:pPr>
      <w:r>
        <w:rPr>
          <w:rFonts w:hint="eastAsia" w:ascii="仿宋_GB2312" w:hAnsi="仿宋_GB2312" w:eastAsia="仿宋_GB2312" w:cs="仿宋_GB2312"/>
          <w:sz w:val="32"/>
          <w:szCs w:val="32"/>
        </w:rPr>
        <w:t>2017年11月9日，监察大队执法人员张晓冬、高雷对该公司对邯郸市峰峰顺祥焦化有限公司进行检查，经查该公司焦炭大棚贮存焦炭未覆盖，且焦炭棚北侧顶部和北侧进出口未封闭，执法人员现场下达了《峰峰矿区环境保护局责令改正违法行为决定书》（峰环责改字〔2017〕199号）责令该公司立即改正违法行为；2017年11月17日，执法人员陪同省飓风行动组田亚龙等人员对该公司现场进行检查，发现该</w:t>
      </w:r>
      <w:r>
        <w:rPr>
          <w:rFonts w:hint="eastAsia" w:ascii="仿宋" w:hAnsi="仿宋" w:eastAsia="仿宋" w:cs="仿宋"/>
          <w:color w:val="333333"/>
          <w:sz w:val="32"/>
          <w:szCs w:val="32"/>
          <w:shd w:val="clear" w:color="auto" w:fill="FFFFFF"/>
        </w:rPr>
        <w:t xml:space="preserve">公司焦炭棚内贮存焦炭仍未覆盖，且焦炭棚北侧顶部和北侧进出口仍未封闭。执法人员对这一违法行为进行现场拍照取证，同时启动违法行为调查取证工作，对该公司环保副总制作了现场检查（勘查）笔录和调查询问笔录，当场提出整改意见。执法人员呈报局法规科立案查处，依据《中华人民共和国大气污染防治法》第一百二十三条第一款第四项之规定，对该公司启动按日连续处罚程序。2017年11月20日，我局执法人员对该公司进行复查，该公司焦炭大棚内存放焦炭，且焦炭棚四周已全部密闭。依照《中华人民共和国大气污染防治法》第一百二十三条第一款第四项之规定，参照邯郸市环保局环境保护局《大气污染防治法》行政处罚自由裁量权量化执行标准（试行），同时依据行政处罚决定书（存根）峰环罚字（2017）136号罚款叁万元为基数，从11月10日至11月17日实施按日计罚，计罚天数为8天，连续处罚额度是24万元（贰拾肆万元）。2018年2月2日送达了按日连续处罚决定书；2018年2月9日缴纳了罚款。 </w:t>
      </w:r>
    </w:p>
    <w:p>
      <w:pPr>
        <w:spacing w:line="360" w:lineRule="auto"/>
        <w:ind w:firstLine="640" w:firstLineChars="200"/>
        <w:rPr>
          <w:rFonts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此案件是我区执行的第一例按日计罚的案件,在案件办理时首先是严谨,翻阅大量按日计罚案例,逐条对照法律条文,计算按日计罚的日期,做到程序合法,证据确凿。其次是坚决,虽然企业的违法行为只是未采取有效措施防止扬尘污染,不同于偷排偷放或超标排污等恶意违法行为,但在特殊的环境下,长期不采取措施防治扬尘污染依然会造成严重的环境污染,因此在案件的认定和执行时坚决的启动按日计罚,警示企业提高环境意识。</w:t>
      </w:r>
    </w:p>
    <w:p>
      <w:pPr>
        <w:widowControl/>
        <w:spacing w:line="560" w:lineRule="exact"/>
        <w:ind w:firstLine="4108" w:firstLineChars="1284"/>
        <w:rPr>
          <w:rFonts w:ascii="仿宋" w:hAnsi="仿宋" w:eastAsia="仿宋"/>
          <w:sz w:val="32"/>
          <w:szCs w:val="32"/>
        </w:rPr>
      </w:pPr>
    </w:p>
    <w:p>
      <w:pPr>
        <w:widowControl/>
        <w:spacing w:line="560" w:lineRule="exact"/>
        <w:ind w:firstLine="4108" w:firstLineChars="1284"/>
        <w:rPr>
          <w:rFonts w:ascii="仿宋" w:hAnsi="仿宋" w:eastAsia="仿宋"/>
          <w:sz w:val="32"/>
          <w:szCs w:val="32"/>
        </w:rPr>
      </w:pPr>
    </w:p>
    <w:p>
      <w:pPr>
        <w:widowControl/>
        <w:spacing w:line="560" w:lineRule="exact"/>
        <w:ind w:firstLine="4108" w:firstLineChars="1284"/>
        <w:rPr>
          <w:rFonts w:ascii="仿宋" w:hAnsi="仿宋" w:eastAsia="仿宋"/>
          <w:sz w:val="32"/>
          <w:szCs w:val="32"/>
        </w:rPr>
      </w:pPr>
    </w:p>
    <w:p>
      <w:pPr>
        <w:widowControl/>
        <w:spacing w:line="560" w:lineRule="exact"/>
        <w:ind w:firstLine="4108" w:firstLineChars="1284"/>
        <w:rPr>
          <w:rFonts w:ascii="仿宋" w:hAnsi="仿宋" w:eastAsia="仿宋"/>
          <w:sz w:val="32"/>
          <w:szCs w:val="32"/>
        </w:rPr>
      </w:pPr>
    </w:p>
    <w:p>
      <w:pPr>
        <w:widowControl/>
        <w:spacing w:line="560" w:lineRule="exact"/>
        <w:ind w:firstLine="4108" w:firstLineChars="1284"/>
        <w:rPr>
          <w:rFonts w:ascii="仿宋" w:hAnsi="仿宋" w:eastAsia="仿宋"/>
          <w:sz w:val="32"/>
          <w:szCs w:val="32"/>
        </w:rPr>
      </w:pPr>
    </w:p>
    <w:p>
      <w:pPr>
        <w:widowControl/>
        <w:spacing w:line="560" w:lineRule="exact"/>
        <w:ind w:firstLine="4108" w:firstLineChars="1284"/>
        <w:rPr>
          <w:rFonts w:ascii="仿宋" w:hAnsi="仿宋" w:eastAsia="仿宋"/>
          <w:sz w:val="32"/>
          <w:szCs w:val="32"/>
        </w:rPr>
      </w:pPr>
    </w:p>
    <w:p>
      <w:pPr>
        <w:widowControl/>
        <w:spacing w:line="560" w:lineRule="exact"/>
        <w:ind w:firstLine="4108" w:firstLineChars="1284"/>
        <w:rPr>
          <w:rFonts w:ascii="仿宋" w:hAnsi="仿宋" w:eastAsia="仿宋"/>
          <w:sz w:val="32"/>
          <w:szCs w:val="32"/>
        </w:rPr>
      </w:pPr>
      <w:r>
        <w:rPr>
          <w:rFonts w:hint="eastAsia" w:ascii="仿宋" w:hAnsi="仿宋" w:eastAsia="仿宋"/>
          <w:sz w:val="32"/>
          <w:szCs w:val="32"/>
        </w:rPr>
        <w:t>邯郸市峰峰矿区环境监察大队</w:t>
      </w:r>
    </w:p>
    <w:p>
      <w:pPr>
        <w:widowControl/>
        <w:spacing w:line="560" w:lineRule="exact"/>
        <w:ind w:firstLine="4748" w:firstLineChars="1484"/>
        <w:rPr>
          <w:rFonts w:ascii="仿宋" w:hAnsi="仿宋" w:eastAsia="仿宋"/>
          <w:sz w:val="32"/>
          <w:szCs w:val="32"/>
        </w:rPr>
      </w:pPr>
      <w:r>
        <w:rPr>
          <w:rFonts w:hint="eastAsia" w:ascii="仿宋" w:hAnsi="仿宋" w:eastAsia="仿宋"/>
          <w:sz w:val="32"/>
          <w:szCs w:val="32"/>
        </w:rPr>
        <w:t>2018年11月25日</w:t>
      </w:r>
    </w:p>
    <w:p>
      <w:pPr>
        <w:spacing w:line="360" w:lineRule="auto"/>
        <w:ind w:left="210" w:leftChars="100"/>
        <w:rPr>
          <w:rFonts w:ascii="仿宋" w:hAnsi="仿宋" w:eastAsia="仿宋"/>
          <w:sz w:val="32"/>
          <w:szCs w:val="32"/>
        </w:rPr>
      </w:pPr>
    </w:p>
    <w:p>
      <w:pPr>
        <w:spacing w:line="360" w:lineRule="auto"/>
        <w:ind w:left="210" w:leftChars="100"/>
        <w:rPr>
          <w:rFonts w:ascii="仿宋" w:hAnsi="仿宋" w:eastAsia="仿宋"/>
          <w:sz w:val="32"/>
          <w:szCs w:val="32"/>
        </w:rPr>
      </w:pPr>
    </w:p>
    <w:p>
      <w:pPr>
        <w:spacing w:line="360" w:lineRule="auto"/>
        <w:ind w:left="210" w:leftChars="100"/>
        <w:rPr>
          <w:rFonts w:ascii="仿宋" w:hAnsi="仿宋" w:eastAsia="仿宋"/>
          <w:sz w:val="32"/>
          <w:szCs w:val="32"/>
        </w:rPr>
      </w:pPr>
    </w:p>
    <w:p>
      <w:pPr>
        <w:spacing w:line="360" w:lineRule="auto"/>
        <w:ind w:left="210" w:leftChars="100"/>
        <w:rPr>
          <w:rFonts w:ascii="仿宋" w:hAnsi="仿宋" w:eastAsia="仿宋"/>
          <w:sz w:val="32"/>
          <w:szCs w:val="32"/>
        </w:rPr>
      </w:pPr>
    </w:p>
    <w:p>
      <w:pPr>
        <w:spacing w:line="360" w:lineRule="auto"/>
        <w:ind w:left="210" w:leftChars="100"/>
        <w:rPr>
          <w:rFonts w:ascii="仿宋" w:hAnsi="仿宋" w:eastAsia="仿宋"/>
          <w:sz w:val="32"/>
          <w:szCs w:val="32"/>
        </w:rPr>
      </w:pPr>
    </w:p>
    <w:p>
      <w:pPr>
        <w:spacing w:line="360" w:lineRule="auto"/>
        <w:ind w:left="210" w:leftChars="100"/>
        <w:rPr>
          <w:rFonts w:ascii="仿宋" w:hAnsi="仿宋" w:eastAsia="仿宋"/>
          <w:sz w:val="32"/>
          <w:szCs w:val="32"/>
        </w:rPr>
      </w:pPr>
    </w:p>
    <w:p>
      <w:pPr>
        <w:spacing w:line="360" w:lineRule="auto"/>
        <w:ind w:left="210" w:leftChars="100"/>
        <w:rPr>
          <w:rFonts w:ascii="仿宋" w:hAnsi="仿宋" w:eastAsia="仿宋"/>
          <w:sz w:val="32"/>
          <w:szCs w:val="32"/>
        </w:rPr>
      </w:pPr>
    </w:p>
    <w:p>
      <w:pPr>
        <w:spacing w:line="360" w:lineRule="auto"/>
        <w:ind w:left="210" w:leftChars="100"/>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A0000287" w:usb1="28C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3794351"/>
    <w:rsid w:val="002E175D"/>
    <w:rsid w:val="005214F7"/>
    <w:rsid w:val="005C2C04"/>
    <w:rsid w:val="005F183D"/>
    <w:rsid w:val="006449B0"/>
    <w:rsid w:val="0065471F"/>
    <w:rsid w:val="00710C26"/>
    <w:rsid w:val="00786E27"/>
    <w:rsid w:val="00847638"/>
    <w:rsid w:val="00874C4E"/>
    <w:rsid w:val="00A67AA1"/>
    <w:rsid w:val="00B47811"/>
    <w:rsid w:val="00B50EC8"/>
    <w:rsid w:val="00C0286D"/>
    <w:rsid w:val="00C93AF5"/>
    <w:rsid w:val="00CA7308"/>
    <w:rsid w:val="00CF0001"/>
    <w:rsid w:val="00DB275C"/>
    <w:rsid w:val="00E4543F"/>
    <w:rsid w:val="00E61F88"/>
    <w:rsid w:val="02E14E86"/>
    <w:rsid w:val="09A80782"/>
    <w:rsid w:val="103B6D80"/>
    <w:rsid w:val="13794351"/>
    <w:rsid w:val="1A7F1E88"/>
    <w:rsid w:val="20FF7662"/>
    <w:rsid w:val="21575A82"/>
    <w:rsid w:val="29BD0022"/>
    <w:rsid w:val="34B63FB9"/>
    <w:rsid w:val="3A4266BB"/>
    <w:rsid w:val="53AB0F95"/>
    <w:rsid w:val="557D6094"/>
    <w:rsid w:val="5FFE0DE4"/>
    <w:rsid w:val="66424E19"/>
    <w:rsid w:val="6D535020"/>
    <w:rsid w:val="73850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character" w:customStyle="1" w:styleId="7">
    <w:name w:val="页眉 Char"/>
    <w:basedOn w:val="5"/>
    <w:link w:val="3"/>
    <w:qFormat/>
    <w:uiPriority w:val="0"/>
    <w:rPr>
      <w:kern w:val="2"/>
      <w:sz w:val="18"/>
      <w:szCs w:val="18"/>
    </w:rPr>
  </w:style>
  <w:style w:type="character" w:customStyle="1" w:styleId="8">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5</Pages>
  <Words>324</Words>
  <Characters>1852</Characters>
  <Lines>15</Lines>
  <Paragraphs>4</Paragraphs>
  <TotalTime>61</TotalTime>
  <ScaleCrop>false</ScaleCrop>
  <LinksUpToDate>false</LinksUpToDate>
  <CharactersWithSpaces>2172</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2018-11-24T00:10:00Z</dcterms:created>
  <dc:creator>lenovo</dc:creator>
  <cp:lastModifiedBy>zhangyichen</cp:lastModifiedBy>
  <dcterms:modified xsi:type="dcterms:W3CDTF">2018-12-17T14:42:16Z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