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adjustRightInd/>
        <w:snapToGrid/>
        <w:spacing w:line="560" w:lineRule="exact"/>
        <w:jc w:val="center"/>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环境执法大练兵活动先进集体事迹材料</w:t>
      </w:r>
    </w:p>
    <w:p>
      <w:pPr>
        <w:pStyle w:val="3"/>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pPr>
      <w:bookmarkStart w:id="0" w:name="_GoBack"/>
      <w:r>
        <w:rPr>
          <w:rFonts w:hint="eastAsia" w:ascii="楷体" w:hAnsi="楷体" w:eastAsia="楷体" w:cs="楷体"/>
          <w:b w:val="0"/>
          <w:bCs/>
          <w:color w:val="000000" w:themeColor="text1"/>
          <w:sz w:val="32"/>
          <w:szCs w:val="32"/>
          <w:lang w:val="en-US" w:eastAsia="zh-CN"/>
          <w14:textFill>
            <w14:solidFill>
              <w14:schemeClr w14:val="tx1"/>
            </w14:solidFill>
          </w14:textFill>
        </w:rPr>
        <w:t>翼城县环境监察大队</w:t>
      </w:r>
    </w:p>
    <w:bookmarkEnd w:id="0"/>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翼城县</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环境监察大队在环境执法大练兵活动中积极贯彻落实上级环保部门各项部署,严格按照大练兵实施方案的具体要求,精心组织大队全体执法人员参加大练兵活动,将此项活动作为本年度工作的一项重要内容,结合日常和专项执法工作,规范开展排污单位现场监督检查、环境违法案件处理处罚和案件移交移送等各项执法工作,全面提高了监察大队的环境执法能力和水平。</w:t>
      </w:r>
    </w:p>
    <w:p>
      <w:pPr>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i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b/>
          <w:bCs/>
          <w:i w:val="0"/>
          <w:caps w:val="0"/>
          <w:color w:val="000000" w:themeColor="text1"/>
          <w:spacing w:val="0"/>
          <w:sz w:val="32"/>
          <w:szCs w:val="32"/>
          <w:shd w:val="clear" w:fill="FFFFFF"/>
          <w14:textFill>
            <w14:solidFill>
              <w14:schemeClr w14:val="tx1"/>
            </w14:solidFill>
          </w14:textFill>
        </w:rPr>
        <w:t>高度重视,精心部署大练兵工作</w:t>
      </w:r>
    </w:p>
    <w:p>
      <w:pPr>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依据《</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临汾市开展</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2018年环境执法大练兵活动实施方案的通知</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》的要求,</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翼城县</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环保局召开大练兵专题会议</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研究既符合辖区实际又很好地贯彻落实上级要求的具体练兵手段和工作机制,对环境执法基础理论及执法规范化、精准化进行集中攻关,具体融入到日常排污单位现场监督检查、专项执法、环境违法案件处理处罚、案件移交移送等日常环境执法工作的各个环节。</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制定</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印发了《</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翼城县开展</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2018年环境执法大练兵活动实施细则</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》,成立了由</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党组书记、</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局长为组长</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，党组成员、副局长</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为副组长的大练兵领导小组,对大练兵工作进行统一部署和调度,逐项</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核实</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责任到具体责任人,确保了大练兵工作的顺利实施。</w:t>
      </w:r>
    </w:p>
    <w:p>
      <w:pPr>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黑体" w:hAnsi="黑体" w:eastAsia="黑体" w:cs="黑体"/>
          <w:b/>
          <w:bCs/>
          <w:i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b/>
          <w:bCs/>
          <w:i w:val="0"/>
          <w:caps w:val="0"/>
          <w:color w:val="000000" w:themeColor="text1"/>
          <w:spacing w:val="0"/>
          <w:sz w:val="32"/>
          <w:szCs w:val="32"/>
          <w:shd w:val="clear" w:fill="FFFFFF"/>
          <w14:textFill>
            <w14:solidFill>
              <w14:schemeClr w14:val="tx1"/>
            </w14:solidFill>
          </w14:textFill>
        </w:rPr>
        <w:t>抓队伍建设,努力提高执法队伍综合素质</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大练兵期间,</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环境</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执法人员加强培训学习,以案件讨论会、案审会为契机,以案说法,通过对案例的点评剖析,执法人员既熟练掌握运用环境监管法律法规,又能总结出各个执法队伍或者个人的特色业务技巧,增强培训的贴近性、实用性和操作性,切实调动了环境执法人员学习法律法规和研究执法办案技能的主动性、积极性。一是认真贯彻落实中央环保政策, 着力打造一支政治过硬、作风优良的执法团队。大队始终坚持思想作风建设,认真贯彻党的路线、方针、政策学习,努力提高全体队员的政治意识、环保意识、服务意识,廉洁意识、法制意识,增强环保工作责任感、使命感,提高大队凝聚力、向心力、组织力。 二是强化业务学习,提高执法水平。大队坚持学以致用、平衡发展的原则。通常采取集体学习与自学相结合、学习与考试相结合、学习与讨论相结合、理论与实践相结合的方式,系统培训环保法律法规及部委规章,狠抓队员能力的培养和综合素质提高。紧紧围绕依法行政与全力服务社会这一工作核心,采取走出去、请进来的形式,积极参加省市组织的岗位和业务培训,通过学习准确领会上级精神,借鉴学习先进经验,不断开阔知识视野,从而提高执法人员依法行政、严格执法、文明执法水平。</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三</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是牢记纪律不触底线。在工作中,不越红线,不触底线。严格遵守中央“八项规定”、《全国环保系统六项禁令》和《环境监察人员六不准》、《关于对环境违法违纪行为给予党政纪处分的规定》及《环境保护违法违纪行为处分暂行规定》等文件精神,增强了拒腐防变能力,营造出风清气正、干事创业的良好氛围。</w:t>
      </w:r>
    </w:p>
    <w:p>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pPr>
      <w:r>
        <w:rPr>
          <w:rFonts w:hint="eastAsia" w:ascii="黑体" w:hAnsi="黑体" w:eastAsia="黑体" w:cs="黑体"/>
          <w:b/>
          <w:bCs/>
          <w:i w:val="0"/>
          <w:caps w:val="0"/>
          <w:color w:val="000000" w:themeColor="text1"/>
          <w:spacing w:val="0"/>
          <w:sz w:val="32"/>
          <w:szCs w:val="32"/>
          <w:shd w:val="clear" w:fill="FFFFFF"/>
          <w:lang w:eastAsia="zh-CN"/>
          <w14:textFill>
            <w14:solidFill>
              <w14:schemeClr w14:val="tx1"/>
            </w14:solidFill>
          </w14:textFill>
        </w:rPr>
        <w:t>三、</w:t>
      </w:r>
      <w:r>
        <w:rPr>
          <w:rFonts w:hint="eastAsia" w:ascii="黑体" w:hAnsi="黑体" w:eastAsia="黑体" w:cs="黑体"/>
          <w:b/>
          <w:bCs/>
          <w:i w:val="0"/>
          <w:caps w:val="0"/>
          <w:color w:val="000000" w:themeColor="text1"/>
          <w:spacing w:val="0"/>
          <w:sz w:val="32"/>
          <w:szCs w:val="32"/>
          <w:shd w:val="clear" w:fill="FFFFFF"/>
          <w14:textFill>
            <w14:solidFill>
              <w14:schemeClr w14:val="tx1"/>
            </w14:solidFill>
          </w14:textFill>
        </w:rPr>
        <w:t>多举措并举,突出执法大练兵特色</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xml:space="preserve">    </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环境执法大练兵活动期间,环境监察大队结合日常或专项执法工作、规范开展排污单位现场监督检查、环境违法案件处理处罚、案件移交移送和环境监察等各项执法工作等,加大了环境执法力度,有力打击了非法排污行为,通过规范开展排污单位现场监督检查、强化环境违法案件处理处罚、注重案件移交移送等各项工作措施推进执法大练兵行动。截止目前,环境监察大队加大了对环境违法行为打击力度,共出动环境</w:t>
      </w:r>
      <w:r>
        <w:rPr>
          <w:rFonts w:hint="default" w:ascii="仿宋_GB2312" w:hAnsi="仿宋_GB2312" w:eastAsia="仿宋_GB2312" w:cs="仿宋_GB2312"/>
          <w:b w:val="0"/>
          <w:bCs w:val="0"/>
          <w:i w:val="0"/>
          <w:caps w:val="0"/>
          <w:color w:val="000000" w:themeColor="text1"/>
          <w:spacing w:val="0"/>
          <w:sz w:val="32"/>
          <w:szCs w:val="32"/>
          <w:shd w:val="clear" w:fill="FFFFFF"/>
          <w14:textFill>
            <w14:solidFill>
              <w14:schemeClr w14:val="tx1"/>
            </w14:solidFill>
          </w14:textFill>
        </w:rPr>
        <w:t>监察人员</w:t>
      </w:r>
      <w:r>
        <w:rPr>
          <w:rFonts w:hint="eastAsia" w:ascii="仿宋_GB2312" w:hAnsi="仿宋_GB2312" w:eastAsia="仿宋_GB2312" w:cs="仿宋_GB2312"/>
          <w:b w:val="0"/>
          <w:bCs w:val="0"/>
          <w:i w:val="0"/>
          <w:caps w:val="0"/>
          <w:color w:val="000000" w:themeColor="text1"/>
          <w:spacing w:val="0"/>
          <w:sz w:val="32"/>
          <w:szCs w:val="32"/>
          <w:shd w:val="clear" w:fill="FFFFFF"/>
          <w:lang w:val="en-US" w:eastAsia="zh-CN"/>
          <w14:textFill>
            <w14:solidFill>
              <w14:schemeClr w14:val="tx1"/>
            </w14:solidFill>
          </w14:textFill>
        </w:rPr>
        <w:t>1500</w:t>
      </w:r>
      <w:r>
        <w:rPr>
          <w:rFonts w:hint="default" w:ascii="仿宋_GB2312" w:hAnsi="仿宋_GB2312" w:eastAsia="仿宋_GB2312" w:cs="仿宋_GB2312"/>
          <w:b w:val="0"/>
          <w:bCs w:val="0"/>
          <w:i w:val="0"/>
          <w:caps w:val="0"/>
          <w:color w:val="000000" w:themeColor="text1"/>
          <w:spacing w:val="0"/>
          <w:sz w:val="32"/>
          <w:szCs w:val="32"/>
          <w:shd w:val="clear" w:fill="FFFFFF"/>
          <w14:textFill>
            <w14:solidFill>
              <w14:schemeClr w14:val="tx1"/>
            </w14:solidFill>
          </w14:textFill>
        </w:rPr>
        <w:t>人次,制作现场监察文书</w:t>
      </w:r>
      <w:r>
        <w:rPr>
          <w:rFonts w:hint="eastAsia" w:ascii="仿宋_GB2312" w:hAnsi="仿宋_GB2312" w:eastAsia="仿宋_GB2312" w:cs="仿宋_GB2312"/>
          <w:b w:val="0"/>
          <w:bCs w:val="0"/>
          <w:i w:val="0"/>
          <w:caps w:val="0"/>
          <w:color w:val="000000" w:themeColor="text1"/>
          <w:spacing w:val="0"/>
          <w:sz w:val="32"/>
          <w:szCs w:val="32"/>
          <w:shd w:val="clear" w:fill="FFFFFF"/>
          <w:lang w:val="en-US" w:eastAsia="zh-CN"/>
          <w14:textFill>
            <w14:solidFill>
              <w14:schemeClr w14:val="tx1"/>
            </w14:solidFill>
          </w14:textFill>
        </w:rPr>
        <w:t>700余</w:t>
      </w:r>
      <w:r>
        <w:rPr>
          <w:rFonts w:hint="default" w:ascii="仿宋_GB2312" w:hAnsi="仿宋_GB2312" w:eastAsia="仿宋_GB2312" w:cs="仿宋_GB2312"/>
          <w:b w:val="0"/>
          <w:bCs w:val="0"/>
          <w:i w:val="0"/>
          <w:caps w:val="0"/>
          <w:color w:val="000000" w:themeColor="text1"/>
          <w:spacing w:val="0"/>
          <w:sz w:val="32"/>
          <w:szCs w:val="32"/>
          <w:shd w:val="clear" w:fill="FFFFFF"/>
          <w14:textFill>
            <w14:solidFill>
              <w14:schemeClr w14:val="tx1"/>
            </w14:solidFill>
          </w14:textFill>
        </w:rPr>
        <w:t>份</w:t>
      </w:r>
      <w:r>
        <w:rPr>
          <w:rFonts w:hint="eastAsia" w:ascii="仿宋_GB2312" w:hAnsi="仿宋_GB2312" w:eastAsia="仿宋_GB2312" w:cs="仿宋_GB2312"/>
          <w:b w:val="0"/>
          <w:bCs w:val="0"/>
          <w:i w:val="0"/>
          <w:caps w:val="0"/>
          <w:color w:val="000000" w:themeColor="text1"/>
          <w:spacing w:val="0"/>
          <w:sz w:val="32"/>
          <w:szCs w:val="32"/>
          <w:shd w:val="clear" w:fill="FFFFFF"/>
          <w:lang w:eastAsia="zh-CN"/>
          <w14:textFill>
            <w14:solidFill>
              <w14:schemeClr w14:val="tx1"/>
            </w14:solidFill>
          </w14:textFill>
        </w:rPr>
        <w:t>，</w:t>
      </w:r>
      <w:r>
        <w:rPr>
          <w:rFonts w:hint="default" w:ascii="仿宋_GB2312" w:hAnsi="仿宋_GB2312" w:eastAsia="仿宋_GB2312" w:cs="仿宋_GB2312"/>
          <w:b w:val="0"/>
          <w:bCs w:val="0"/>
          <w:i w:val="0"/>
          <w:caps w:val="0"/>
          <w:color w:val="000000" w:themeColor="text1"/>
          <w:spacing w:val="0"/>
          <w:sz w:val="32"/>
          <w:szCs w:val="32"/>
          <w:shd w:val="clear" w:fill="FFFFFF"/>
          <w14:textFill>
            <w14:solidFill>
              <w14:schemeClr w14:val="tx1"/>
            </w14:solidFill>
          </w14:textFill>
        </w:rPr>
        <w:t>询问笔录</w:t>
      </w:r>
      <w:r>
        <w:rPr>
          <w:rFonts w:hint="eastAsia" w:ascii="仿宋_GB2312" w:hAnsi="仿宋_GB2312" w:eastAsia="仿宋_GB2312" w:cs="仿宋_GB2312"/>
          <w:b w:val="0"/>
          <w:bCs w:val="0"/>
          <w:i w:val="0"/>
          <w:caps w:val="0"/>
          <w:color w:val="000000" w:themeColor="text1"/>
          <w:spacing w:val="0"/>
          <w:sz w:val="32"/>
          <w:szCs w:val="32"/>
          <w:shd w:val="clear" w:fill="FFFFFF"/>
          <w:lang w:val="en-US" w:eastAsia="zh-CN"/>
          <w14:textFill>
            <w14:solidFill>
              <w14:schemeClr w14:val="tx1"/>
            </w14:solidFill>
          </w14:textFill>
        </w:rPr>
        <w:t>51</w:t>
      </w:r>
      <w:r>
        <w:rPr>
          <w:rFonts w:hint="default" w:ascii="仿宋_GB2312" w:hAnsi="仿宋_GB2312" w:eastAsia="仿宋_GB2312" w:cs="仿宋_GB2312"/>
          <w:b w:val="0"/>
          <w:bCs w:val="0"/>
          <w:i w:val="0"/>
          <w:caps w:val="0"/>
          <w:color w:val="000000" w:themeColor="text1"/>
          <w:spacing w:val="0"/>
          <w:sz w:val="32"/>
          <w:szCs w:val="32"/>
          <w:shd w:val="clear" w:fill="FFFFFF"/>
          <w14:textFill>
            <w14:solidFill>
              <w14:schemeClr w14:val="tx1"/>
            </w14:solidFill>
          </w14:textFill>
        </w:rPr>
        <w:t>份</w:t>
      </w:r>
      <w:r>
        <w:rPr>
          <w:rFonts w:hint="eastAsia" w:ascii="仿宋_GB2312" w:hAnsi="仿宋_GB2312" w:eastAsia="仿宋_GB2312" w:cs="仿宋_GB2312"/>
          <w:b w:val="0"/>
          <w:bCs w:val="0"/>
          <w:i w:val="0"/>
          <w:caps w:val="0"/>
          <w:color w:val="000000" w:themeColor="text1"/>
          <w:spacing w:val="0"/>
          <w:sz w:val="32"/>
          <w:szCs w:val="32"/>
          <w:shd w:val="clear" w:fill="FFFFFF"/>
          <w:lang w:eastAsia="zh-CN"/>
          <w14:textFill>
            <w14:solidFill>
              <w14:schemeClr w14:val="tx1"/>
            </w14:solidFill>
          </w14:textFill>
        </w:rPr>
        <w:t>，</w:t>
      </w:r>
      <w:r>
        <w:rPr>
          <w:rFonts w:hint="default" w:ascii="仿宋_GB2312" w:hAnsi="仿宋_GB2312" w:eastAsia="仿宋_GB2312" w:cs="仿宋_GB2312"/>
          <w:b w:val="0"/>
          <w:bCs w:val="0"/>
          <w:i w:val="0"/>
          <w:caps w:val="0"/>
          <w:color w:val="000000" w:themeColor="text1"/>
          <w:spacing w:val="0"/>
          <w:sz w:val="32"/>
          <w:szCs w:val="32"/>
          <w:shd w:val="clear" w:fill="FFFFFF"/>
          <w14:textFill>
            <w14:solidFill>
              <w14:schemeClr w14:val="tx1"/>
            </w14:solidFill>
          </w14:textFill>
        </w:rPr>
        <w:t>共立</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案处理案件</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51</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件</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其中</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一般行政处罚案件</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32件、按日连续计罚案件2件、</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移送公安行政拘留</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1</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起、查封扣押</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16</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起</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处罚</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金额</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326</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万元。</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xml:space="preserve">   </w:t>
      </w:r>
      <w:r>
        <w:rPr>
          <w:rFonts w:hint="eastAsia" w:ascii="仿宋_GB2312" w:hAnsi="仿宋_GB2312" w:eastAsia="仿宋_GB2312" w:cs="仿宋_GB2312"/>
          <w:b/>
          <w:bCs/>
          <w:i w:val="0"/>
          <w:caps w:val="0"/>
          <w:color w:val="000000" w:themeColor="text1"/>
          <w:spacing w:val="0"/>
          <w:sz w:val="32"/>
          <w:szCs w:val="32"/>
          <w:shd w:val="clear" w:fill="FFFFFF"/>
          <w:lang w:val="en-US" w:eastAsia="zh-CN"/>
          <w14:textFill>
            <w14:solidFill>
              <w14:schemeClr w14:val="tx1"/>
            </w14:solidFill>
          </w14:textFill>
        </w:rPr>
        <w:t xml:space="preserve"> </w:t>
      </w:r>
      <w:r>
        <w:rPr>
          <w:rFonts w:hint="eastAsia" w:ascii="黑体" w:hAnsi="黑体" w:eastAsia="黑体" w:cs="黑体"/>
          <w:b/>
          <w:bCs/>
          <w:i w:val="0"/>
          <w:caps w:val="0"/>
          <w:color w:val="000000" w:themeColor="text1"/>
          <w:spacing w:val="0"/>
          <w:sz w:val="32"/>
          <w:szCs w:val="32"/>
          <w:shd w:val="clear" w:fill="FFFFFF"/>
          <w:lang w:val="en-US" w:eastAsia="zh-CN"/>
          <w14:textFill>
            <w14:solidFill>
              <w14:schemeClr w14:val="tx1"/>
            </w14:solidFill>
          </w14:textFill>
        </w:rPr>
        <w:t>四、</w:t>
      </w:r>
      <w:r>
        <w:rPr>
          <w:rFonts w:hint="eastAsia" w:ascii="黑体" w:hAnsi="黑体" w:eastAsia="黑体" w:cs="黑体"/>
          <w:b/>
          <w:bCs/>
          <w:i w:val="0"/>
          <w:caps w:val="0"/>
          <w:color w:val="000000" w:themeColor="text1"/>
          <w:spacing w:val="0"/>
          <w:sz w:val="32"/>
          <w:szCs w:val="32"/>
          <w:shd w:val="clear" w:fill="FFFFFF"/>
          <w14:textFill>
            <w14:solidFill>
              <w14:schemeClr w14:val="tx1"/>
            </w14:solidFill>
          </w14:textFill>
        </w:rPr>
        <w:t>典型案例办理过程</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阳泉煤业集团翼城华泓煤业有限公司露天堆放</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实施按日连续计罚</w:t>
      </w:r>
      <w:r>
        <w:rPr>
          <w:rFonts w:hint="default"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案</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2018年7月31日，翼城县环境监察大队执法人员对</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阳泉煤业集团翼城华泓煤业有限公司</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进行检查时，发现</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该公司正在生产</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紧靠储煤棚东侧约40余吨原煤露天堆放</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。翼城县</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环境监察大队于8月1日对</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阳泉煤业集团翼城华泓煤业有限公司</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的</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露天堆放</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行为予以立案调查，并在当日送达《责令改正环境违法行为决定书》(翼</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环违决字[ 2018 ] 079号</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)，责令当事人立即改正以上环境违法行为。8月22日，翼城县环保局下达行政处罚事先（听证）告知书，告知其违法事实、处罚依据、拟处罚决定；8月31日，翼城县环保局作出行政处罚决定书，决定对</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阳泉煤业集团翼城华泓煤业有限公司</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的</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露天堆放</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行为罚款人民币3万元整。翼城县环保局于8月1日启动按日连续处罚流程。根据《中华人民共和国环境保护法》第五十九条第一款“企业事业单位和其他生产经营者违法排放污染物，受到罚款处罚，被责令改正，拒不改正的，依法作出处罚决定的行政机关可以自责令改正之日的次日起，按照原处罚数额按日连续处罚。”的规定，决定对当事人处罚如下：</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阳泉煤业集团翼城华泓煤业有限公司</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罚款人民币3万元(按日连续处罚的起止时间：8月1日-5日)。</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环境执法大练兵活动开展以来，</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我县环境监察大队在执法工作中虽然取得了一定成绩,但离上级的要求和公众期望仍存在一定差距,在今后工作中,我们将一如既往,依法行政,规范执法行为,不辱使命,坚持人与自然和谐共生,牢固树立和践行绿水青山就是金山银山的理念。与时俱进,积极开拓,为建设山绿水清天蓝气净的美丽家园而奋斗,争创环保执法一流团队,为环保事业做出自己应有的贡献。</w:t>
      </w:r>
    </w:p>
    <w:p>
      <w:pPr>
        <w:pStyle w:val="2"/>
        <w:pageBreakBefore w:val="0"/>
        <w:widowControl w:val="0"/>
        <w:kinsoku/>
        <w:wordWrap/>
        <w:overflowPunct/>
        <w:topLinePunct w:val="0"/>
        <w:autoSpaceDE/>
        <w:autoSpaceDN/>
        <w:bidi w:val="0"/>
        <w:adjustRightInd/>
        <w:snapToGrid/>
        <w:spacing w:line="560" w:lineRule="exact"/>
        <w:ind w:left="0" w:leftChars="0" w:firstLine="4160" w:firstLineChars="1300"/>
        <w:textAlignment w:val="auto"/>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pPr>
    </w:p>
    <w:p>
      <w:pPr>
        <w:pStyle w:val="2"/>
        <w:pageBreakBefore w:val="0"/>
        <w:widowControl w:val="0"/>
        <w:kinsoku/>
        <w:wordWrap/>
        <w:overflowPunct/>
        <w:topLinePunct w:val="0"/>
        <w:autoSpaceDE/>
        <w:autoSpaceDN/>
        <w:bidi w:val="0"/>
        <w:adjustRightInd/>
        <w:snapToGrid/>
        <w:spacing w:line="560" w:lineRule="exact"/>
        <w:ind w:left="0" w:leftChars="0" w:firstLine="4160" w:firstLineChars="1300"/>
        <w:textAlignment w:val="auto"/>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pPr>
    </w:p>
    <w:p>
      <w:pPr>
        <w:pStyle w:val="2"/>
        <w:pageBreakBefore w:val="0"/>
        <w:widowControl w:val="0"/>
        <w:kinsoku/>
        <w:wordWrap/>
        <w:overflowPunct/>
        <w:topLinePunct w:val="0"/>
        <w:autoSpaceDE/>
        <w:autoSpaceDN/>
        <w:bidi w:val="0"/>
        <w:adjustRightInd/>
        <w:snapToGrid/>
        <w:spacing w:line="560" w:lineRule="exact"/>
        <w:ind w:left="0" w:leftChars="0" w:firstLine="4160" w:firstLineChars="1300"/>
        <w:textAlignment w:val="auto"/>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pPr>
    </w:p>
    <w:p>
      <w:pPr>
        <w:pStyle w:val="2"/>
        <w:pageBreakBefore w:val="0"/>
        <w:widowControl w:val="0"/>
        <w:kinsoku/>
        <w:wordWrap/>
        <w:overflowPunct/>
        <w:topLinePunct w:val="0"/>
        <w:autoSpaceDE/>
        <w:autoSpaceDN/>
        <w:bidi w:val="0"/>
        <w:adjustRightInd/>
        <w:snapToGrid/>
        <w:spacing w:line="560" w:lineRule="exact"/>
        <w:ind w:left="0" w:leftChars="0" w:firstLine="4480" w:firstLineChars="1400"/>
        <w:textAlignment w:val="auto"/>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翼城县环境</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保护局</w:t>
      </w:r>
    </w:p>
    <w:p>
      <w:pPr>
        <w:pStyle w:val="2"/>
        <w:pageBreakBefore w:val="0"/>
        <w:widowControl w:val="0"/>
        <w:kinsoku/>
        <w:wordWrap/>
        <w:overflowPunct/>
        <w:topLinePunct w:val="0"/>
        <w:autoSpaceDE/>
        <w:autoSpaceDN/>
        <w:bidi w:val="0"/>
        <w:adjustRightInd/>
        <w:snapToGrid/>
        <w:spacing w:line="560" w:lineRule="exact"/>
        <w:ind w:firstLine="4480" w:firstLineChars="1400"/>
        <w:textAlignment w:val="auto"/>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2018年11月19日</w:t>
      </w:r>
    </w:p>
    <w:sectPr>
      <w:footerReference r:id="rId3" w:type="default"/>
      <w:pgSz w:w="11906" w:h="16838"/>
      <w:pgMar w:top="2154" w:right="141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408F7C"/>
    <w:multiLevelType w:val="singleLevel"/>
    <w:tmpl w:val="9A408F7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957BB"/>
    <w:rsid w:val="035B5CE3"/>
    <w:rsid w:val="102717E3"/>
    <w:rsid w:val="175B2C79"/>
    <w:rsid w:val="1C203822"/>
    <w:rsid w:val="3F9450F4"/>
    <w:rsid w:val="52A957BB"/>
    <w:rsid w:val="55235170"/>
    <w:rsid w:val="5E2B54B9"/>
    <w:rsid w:val="6765608F"/>
    <w:rsid w:val="6D5153C9"/>
    <w:rsid w:val="6D535020"/>
    <w:rsid w:val="72C92786"/>
    <w:rsid w:val="76AD5EF6"/>
    <w:rsid w:val="773922D5"/>
    <w:rsid w:val="7A285448"/>
    <w:rsid w:val="7FEC2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2018-10-30T00:56:00Z</dcterms:created>
  <dc:creator>毋振华</dc:creator>
  <cp:lastModifiedBy>zhangyichen</cp:lastModifiedBy>
  <cp:lastPrinted>2018-11-19T07:23:00Z</cp:lastPrinted>
  <dcterms:modified xsi:type="dcterms:W3CDTF">2018-12-17T15:03:46Z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