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 w:eastAsiaTheme="majorEastAsia"/>
          <w:b/>
          <w:bCs/>
          <w:sz w:val="44"/>
          <w:szCs w:val="44"/>
          <w:lang w:val="en-US" w:eastAsia="zh-CN"/>
        </w:rPr>
        <w:t>苏州市环境监察支队申报事迹材料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2018年，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我市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紧紧围绕推进生态文明、建设美丽苏州的环保工作主线，以维护群众环境权益为出发点，以解决突出环境问题为重点，以创新环保机制为着力点，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抓住中央和省环保督查的契机，保持环境执法高压态势，深入开展环境执法大练兵活动，有力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推进全市环境执法队伍建设，提升环境执法整体水平，在污染防治攻坚、环境质量改善等方面取得了一定成效。 </w:t>
      </w:r>
    </w:p>
    <w:p>
      <w:pPr>
        <w:numPr>
          <w:ilvl w:val="0"/>
          <w:numId w:val="1"/>
        </w:num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高度重视、严密组织，深入开展环境执法大练兵</w:t>
      </w:r>
    </w:p>
    <w:p>
      <w:pPr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一是领导高度重视。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市高度重视大练兵活动，将大练兵活动列入年度重点工作，成立了由主要领导任组长，分管领导任副组长，监察、法规、监测、固管、应急、核管、人事、机关党委、宣教等部门（单位）主要负责同志为成员的大练兵工作推进组，负责大练兵活动的组织实施，每月通报全市执法工作情况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二是全面动员部署。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4月初，召开全市环境监察执法工作会议，印发《苏州市环境执法大练兵活动实施方案》，对2018年活动进行动员部署，发动在岗执法人员全员参与，明确目标任务、时间节点和具体要求，有力有序推进活动开展，同时对2016-2017年度苏州市环境执法大练兵活动中3 个先进集体、3 个执法进步集体和30 名先进个人予以通报表扬。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三是组织宣传报道。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局网站开设大练兵活动专栏，充分利用官方微信、微博平台，及时发布活动情况，曝光典型案例，及时宣传报道执法大练兵活动开展情况，努力营造良好舆论氛围。活动期间，每月报送工作简报，向《中国环境报》投稿并发表12篇。</w:t>
      </w:r>
    </w:p>
    <w:p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二、聚焦问题、突出重点，严厉打击环境违法行为</w:t>
      </w:r>
    </w:p>
    <w:p>
      <w:pPr>
        <w:ind w:firstLine="640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我市积极响应，果断出击，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将大练兵活动与日常执法监管无缝对接，坚持交叉互查、节假日突击检查、夜查等多措并举，严厉打击环境违法行为，查处一批典型案件，震慑一片违法企业。</w:t>
      </w:r>
    </w:p>
    <w:p>
      <w:pPr>
        <w:ind w:firstLine="640" w:firstLineChars="200"/>
        <w:jc w:val="left"/>
        <w:rPr>
          <w:rFonts w:hint="default" w:ascii="Times New Roman" w:hAnsi="Times New Roman" w:eastAsia="楷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楷体" w:cs="Times New Roman"/>
          <w:kern w:val="0"/>
          <w:sz w:val="32"/>
          <w:szCs w:val="32"/>
        </w:rPr>
        <w:t>（一）坚持依法从严，形成高压态势</w:t>
      </w:r>
    </w:p>
    <w:p>
      <w:pPr>
        <w:ind w:firstLine="643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一是加大执法力度。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针对环境敏感区域和问题线索企业，我市每月组织夜间突击检查3次以上，执法持续到零时以后，严查污染治理设施不正常运行及超标排放行为。建立落实异地交叉互查机制，重点检查信访问题突出区域，今年以来已开展6轮互查行动，通报整改73家企业环境问题。强化执法后督察，跟踪违法行为整改效果，防止以罚代管。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二是强化司法联动。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健全完善两法衔接机制，开展打击污染环境违法犯罪专项行动。建立重点环境问题联合调查处理“2+N”工作机制。市级环保公安联合对全市交叉互查移送案件办理情况督查督办，督促加大涉刑涉拘案件查办力度。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三是突出案件查处。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1-10月，全市查处环境违法案件2863件，处罚金额2.8亿元，分别是去年全年的1.3倍和1.7倍，适用新环保法及配套办法案件451件，其中按日计罚4件、查封扣押189件、限产停产129件，移送公安机关适用行政拘留41件，涉刑案件88件。</w:t>
      </w:r>
    </w:p>
    <w:p>
      <w:pPr>
        <w:ind w:firstLine="640" w:firstLineChars="200"/>
        <w:jc w:val="left"/>
        <w:rPr>
          <w:rFonts w:hint="default" w:ascii="Times New Roman" w:hAnsi="Times New Roman" w:eastAsia="楷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楷体" w:cs="Times New Roman"/>
          <w:kern w:val="0"/>
          <w:sz w:val="32"/>
          <w:szCs w:val="32"/>
        </w:rPr>
        <w:t>（二）坚持问题导向，强化精准执法</w:t>
      </w:r>
    </w:p>
    <w:p>
      <w:pPr>
        <w:ind w:firstLine="643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一是紧盯环境质量问题系统查。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针对水质不稳定断面开展流域全面排查，加强污水厂及重点涉水企业监管，确保企业稳定达标排放。开展秋冬季、“进博会”等重点时段大气环境质量保障专项行动，督促落实管控要求，推动企业落实主体责任，“进博会”期间全市3335家企业主动配合落实停产限产措施，受到部督察组的肯定。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二是紧盯突出环境问题重点查。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全力查处中央环保督察信访问题，“回头看”期间查处违法企业240家，罚款5121万元。成立张家港市沙钢问题排查整治专班，开展驻点督办，集中督办问题整改。梳理信访投诉问题线索，利用企业内部人员投诉顺藤摸瓜、深挖细查、一查到底，全市省市级信访总量下降12%。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三是紧盯行业污染问题集中查。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持续开展化工、电镀、危废处置、垃圾焚烧等重点行业专项行动，集中打击行业环境违法行为，整治突出问题，减少风险隐患。充分借助社会专业力量，聘请行业专家或技术服务机构，对大型企业环境问题进行调查评估，指导督促企业提升治污水平、防范环境风险。</w:t>
      </w:r>
    </w:p>
    <w:p>
      <w:pPr>
        <w:ind w:firstLine="640" w:firstLineChars="200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楷体" w:cs="Times New Roman"/>
          <w:kern w:val="0"/>
          <w:sz w:val="32"/>
          <w:szCs w:val="32"/>
        </w:rPr>
        <w:t>（三）坚持效能优先，创新执法手段</w:t>
      </w:r>
    </w:p>
    <w:p>
      <w:pPr>
        <w:ind w:firstLine="640" w:firstLineChars="200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针对人少事多的困难矛盾，充分利用各种资源，提升监管综合效能。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一是运用监控管。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充分发挥污染源在线监控预警作用，实现钢铁、火电、印染、电镀、化工等重点污染源在线监控全覆盖。每日利用在线监控数据筛查问题线索，督促核实问题。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二是创新手段管。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利用走航车对化工集聚区、信访集中区、环境敏感区的VOC排放情况进行流动监测，排查筛选相关污染源。高新区安装重点污染源工况在线监控与分析系统，时时掌控企业生产、治污、排污状况。昆山市探索重点区域无人机废气 “扫描”监测技术，筛选污染嫌疑企业。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三是形成合力管。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积极借助水利、安监、海事等职能部门力量，加强协调配合，共同开展入江排污口排查、涉粉涉爆行业检查、船舶污染防治等工作，形成污染源执法监管合力，营造环境保护齐抓共治的良好局面。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四是优化服务管。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在严格执法的同时，积极为企业排忧解难，既严格管理又热情服务，营造良好政商关系。建设网格化监管平台，设置企业自查功能，协助指导企业自查自纠。梳理自主验收过渡期待验收项目清单，向企业送达行政提示书，督促企业加强建设项目管理。</w:t>
      </w:r>
    </w:p>
    <w:p>
      <w:pPr>
        <w:ind w:left="420" w:leftChars="200" w:firstLine="320" w:firstLineChars="100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三、适应要求、加强管理，着力打造环境执法铁军</w:t>
      </w:r>
    </w:p>
    <w:p>
      <w:pPr>
        <w:ind w:firstLine="643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一是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健全监管体系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划定四级环境监管网格1492个，运用污染源网格化监管平台及手机APP终端，以排污许可证为基础，细化企业检查点位及要素，实现企业自查与网格员巡查相结合的机制，强化污染源监管；完善污染源信息，形成市级2140家、区县级1.8万余家的污染源双随机基础信息库。</w:t>
      </w:r>
    </w:p>
    <w:p>
      <w:pPr>
        <w:ind w:firstLine="643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二是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规范执法行为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全面落实移动执法要求，建立执法全过程记录制度，实现执法检查全程留痕。坚持“查处分离”，完善违法案件集体讨论和部门会商制度，开展行政处罚裁量系统省级试点工作。加强环境监察稽查，督促属地落实128项稽查问题的整改。聘请法律专家和律师事务所为环境执法提供专项行政法律服务。</w:t>
      </w:r>
    </w:p>
    <w:p>
      <w:pPr>
        <w:ind w:firstLine="643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三是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打造过硬队伍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以需求为导向，紧贴实战工作，将法治理论和业务知识相结合、以集中学习和自主学习相结合，采取法治讲座、邀请专家顾问专题培训、业务骨干研讨交流、案卷评查、网上学习等多种形式的学法培训活动，今年组织各类执法培训600人次，进一步规范行政执法全过程，提高执法人员调查取证、适用法律、两法衔接的能力和水平，提升案件查办质量，形成执法人员学法用法长效工作机制。开展“环保执法我给力”征文演讲比赛，营造执法氛围；以“一图一故事”为载体大力宣扬一线执法典型，树立业务标杆；评优评先向一线执法人员倾斜，激励执法队伍爱岗敬业、尽职尽责。</w:t>
      </w:r>
    </w:p>
    <w:p>
      <w:pPr>
        <w:ind w:left="420" w:leftChars="200" w:firstLine="320" w:firstLineChars="100"/>
        <w:jc w:val="left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四、多措并举、用“组合拳”，打好环境执法主动仗</w:t>
      </w:r>
    </w:p>
    <w:p>
      <w:pPr>
        <w:ind w:left="319" w:leftChars="152" w:firstLine="321" w:firstLineChars="100"/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典型案例：</w:t>
      </w: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嘉诠精密五金电子（苏州）有限公司不正常</w:t>
      </w:r>
      <w:r>
        <w:rPr>
          <w:rFonts w:hint="eastAsia" w:eastAsia="仿宋_GB2312" w:cs="Times New Roman"/>
          <w:b w:val="0"/>
          <w:kern w:val="2"/>
          <w:sz w:val="32"/>
          <w:szCs w:val="32"/>
          <w:lang w:val="en-US" w:eastAsia="zh-CN" w:bidi="ar-SA"/>
        </w:rPr>
        <w:t>运行</w:t>
      </w: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污染防治设施排放污染物处罚</w:t>
      </w:r>
      <w:r>
        <w:rPr>
          <w:rFonts w:hint="eastAsia" w:eastAsia="仿宋_GB2312" w:cs="Times New Roman"/>
          <w:b w:val="0"/>
          <w:kern w:val="2"/>
          <w:sz w:val="32"/>
          <w:szCs w:val="32"/>
          <w:lang w:val="en-US" w:eastAsia="zh-CN" w:bidi="ar-SA"/>
        </w:rPr>
        <w:t>、</w:t>
      </w: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查封和行政拘留案。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2018年7月30日苏州市环境监察支队对嘉诠精密五金电子（苏州）有限公司进行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双随机</w:t>
      </w: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执法检查，经调查发现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该公司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</w:t>
      </w: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通过不正常运行大气污染防治设施、不正常运行水污染防治设施的方式排放污染物和部分危险废物不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设置危险废物识别标志的违法行为。7月31日</w:t>
      </w:r>
      <w:r>
        <w:rPr>
          <w:rFonts w:hint="eastAsia" w:eastAsia="仿宋_GB2312" w:cs="Times New Roman"/>
          <w:sz w:val="32"/>
          <w:szCs w:val="32"/>
          <w:lang w:eastAsia="zh-CN"/>
        </w:rPr>
        <w:t>批准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立案</w:t>
      </w:r>
      <w:r>
        <w:rPr>
          <w:rFonts w:hint="eastAsia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8月14日对该公司法定代表人沈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某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、环安专员高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某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、副理冯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某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和阳极氧化线组长齐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某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四人进行调查询问。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苏州市环保局依法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该公司</w:t>
      </w:r>
      <w:r>
        <w:rPr>
          <w:rFonts w:hint="eastAsia" w:eastAsia="仿宋_GB2312" w:cs="Times New Roman"/>
          <w:sz w:val="32"/>
          <w:szCs w:val="32"/>
          <w:lang w:eastAsia="zh-CN"/>
        </w:rPr>
        <w:t>阳极氧化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车间生产线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予以查封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查封期限为30日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苏州市环保局依法对该公司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做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出合计罚款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27万元的行政处罚决定，并将案件移送至苏州公安局相城分局进一步调查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处理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下一步，</w:t>
      </w:r>
      <w:r>
        <w:rPr>
          <w:rStyle w:val="5"/>
          <w:rFonts w:hint="default" w:ascii="Times New Roman" w:hAnsi="Times New Roman" w:eastAsia="仿宋_GB2312" w:cs="Times New Roman"/>
          <w:color w:val="auto"/>
          <w:spacing w:val="-4"/>
          <w:sz w:val="32"/>
          <w:szCs w:val="32"/>
        </w:rPr>
        <w:t>我们将继续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巩固环境执法大练兵活动成果，积极适应新形势新要求，认真分析解决面临的困难和矛盾，</w:t>
      </w:r>
      <w:r>
        <w:rPr>
          <w:rStyle w:val="5"/>
          <w:rFonts w:hint="default" w:ascii="Times New Roman" w:hAnsi="Times New Roman" w:eastAsia="仿宋_GB2312" w:cs="Times New Roman"/>
          <w:color w:val="auto"/>
          <w:spacing w:val="-4"/>
          <w:sz w:val="32"/>
          <w:szCs w:val="32"/>
        </w:rPr>
        <w:t>进一步加强环境执法队伍建设，不断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提高环境执法规范化、专业化、信息化水平，全力打造环保执法铁军，为打好污染防治攻坚战提供有力保障。</w:t>
      </w:r>
    </w:p>
    <w:p>
      <w:pPr>
        <w:ind w:firstLine="640" w:firstLineChars="200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</w:t>
      </w:r>
    </w:p>
    <w:p>
      <w:pPr>
        <w:ind w:firstLine="640" w:firstLineChars="200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苏州市环境监察支队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</w:t>
      </w:r>
    </w:p>
    <w:p>
      <w:pPr>
        <w:ind w:firstLine="640" w:firstLineChars="200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2018年11月22日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7584B"/>
    <w:multiLevelType w:val="singleLevel"/>
    <w:tmpl w:val="47F7584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2A60"/>
    <w:rsid w:val="12C14349"/>
    <w:rsid w:val="1323089F"/>
    <w:rsid w:val="1A822132"/>
    <w:rsid w:val="23F97236"/>
    <w:rsid w:val="2BB621B9"/>
    <w:rsid w:val="35F36E5C"/>
    <w:rsid w:val="37992A85"/>
    <w:rsid w:val="384A710B"/>
    <w:rsid w:val="42FC6F00"/>
    <w:rsid w:val="4FBD48C0"/>
    <w:rsid w:val="59005B82"/>
    <w:rsid w:val="5BC42C4C"/>
    <w:rsid w:val="5FC9499B"/>
    <w:rsid w:val="620C174E"/>
    <w:rsid w:val="62B240A2"/>
    <w:rsid w:val="69AF1F68"/>
    <w:rsid w:val="7A9B5A9C"/>
    <w:rsid w:val="7EEA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5">
    <w:name w:val="article1"/>
    <w:basedOn w:val="3"/>
    <w:qFormat/>
    <w:uiPriority w:val="0"/>
    <w:rPr>
      <w:rFonts w:hint="eastAsia" w:ascii="宋体" w:hAnsi="宋体" w:eastAsia="宋体" w:cs="Times New Roman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王赛</cp:lastModifiedBy>
  <dcterms:modified xsi:type="dcterms:W3CDTF">2018-12-17T15:21:36Z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