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环境执法大练兵工作情况汇报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楷体" w:hAnsi="楷体" w:eastAsia="楷体" w:cs="楷体"/>
          <w:sz w:val="32"/>
          <w:szCs w:val="32"/>
        </w:rPr>
      </w:pPr>
      <w:r>
        <w:rPr>
          <w:rFonts w:hint="eastAsia" w:ascii="楷体" w:hAnsi="楷体" w:eastAsia="楷体" w:cs="楷体"/>
          <w:sz w:val="32"/>
          <w:szCs w:val="32"/>
        </w:rPr>
        <w:t>连云港市赣榆区环境监察局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为推进全区环境执法队伍建设，全面提升环境监察人员综合素质，打造一支与环保新形势相适应的环境执法队伍，根据环保部和省市环保部门要求，我局于今年5月-</w:t>
      </w:r>
      <w:r>
        <w:rPr>
          <w:rFonts w:hint="eastAsia" w:ascii="仿宋" w:hAnsi="仿宋" w:eastAsia="仿宋" w:cs="仿宋"/>
          <w:sz w:val="32"/>
          <w:szCs w:val="32"/>
          <w:lang w:val="en-US" w:eastAsia="zh-CN"/>
        </w:rPr>
        <w:t>11</w:t>
      </w:r>
      <w:r>
        <w:rPr>
          <w:rFonts w:hint="eastAsia" w:ascii="仿宋" w:hAnsi="仿宋" w:eastAsia="仿宋" w:cs="仿宋"/>
          <w:sz w:val="32"/>
          <w:szCs w:val="32"/>
        </w:rPr>
        <w:t xml:space="preserve">月，在全区深入开展环境执法大练兵活动,取得了明显成效。现将有关工作情况汇报如下： </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一、工作总体情况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为确保“环境执法大练兵”活动落到实处，我局成立了以局长为组长的环境执法大练兵活动领导小组，制定了《关于开展2018年环境执法大练兵的通知》（赣环发〔201</w:t>
      </w:r>
      <w:r>
        <w:rPr>
          <w:rFonts w:hint="eastAsia" w:ascii="仿宋" w:hAnsi="仿宋" w:eastAsia="仿宋" w:cs="仿宋"/>
          <w:sz w:val="32"/>
          <w:szCs w:val="32"/>
          <w:lang w:val="en-US" w:eastAsia="zh-CN"/>
        </w:rPr>
        <w:t>8</w:t>
      </w:r>
      <w:r>
        <w:rPr>
          <w:rFonts w:hint="eastAsia" w:ascii="仿宋" w:hAnsi="仿宋" w:eastAsia="仿宋" w:cs="仿宋"/>
          <w:sz w:val="32"/>
          <w:szCs w:val="32"/>
        </w:rPr>
        <w:t>〕</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 号），力求提高执法人员整体素质、适应环境执法和实战需要，积极探索和认真实践“战训合一”的科学练兵模式，扎实推进环境执法大练兵活动向实战化和长效化方向发展。</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楷体" w:hAnsi="楷体" w:eastAsia="楷体" w:cs="楷体"/>
          <w:sz w:val="32"/>
          <w:szCs w:val="32"/>
        </w:rPr>
        <w:t>凝聚共识，把</w:t>
      </w:r>
      <w:r>
        <w:rPr>
          <w:rFonts w:hint="eastAsia" w:ascii="楷体" w:hAnsi="楷体" w:eastAsia="楷体" w:cs="楷体"/>
          <w:sz w:val="32"/>
          <w:szCs w:val="32"/>
          <w:lang w:eastAsia="zh-CN"/>
        </w:rPr>
        <w:t>大练兵活动</w:t>
      </w:r>
      <w:r>
        <w:rPr>
          <w:rFonts w:hint="eastAsia" w:ascii="楷体" w:hAnsi="楷体" w:eastAsia="楷体" w:cs="楷体"/>
          <w:sz w:val="32"/>
          <w:szCs w:val="32"/>
        </w:rPr>
        <w:t>作为工作动力。</w:t>
      </w:r>
      <w:r>
        <w:rPr>
          <w:rFonts w:hint="eastAsia" w:ascii="仿宋" w:hAnsi="仿宋" w:eastAsia="仿宋" w:cs="仿宋"/>
          <w:sz w:val="32"/>
          <w:szCs w:val="32"/>
        </w:rPr>
        <w:t>瞄准“推进环境执法队伍建设，切实提高环境执法队伍规范执法的意识和能力”的目标，首先针对执法大练兵目标、标准以及执法人员在理论和技能等方面的短板，制定执法人员大练兵学习计划，把“能否精通环保法律法规，能否熟悉自身岗位职责及任务，能否准确剖析环境违法情节，能否应处尽处应罚尽罚”作为评判大练兵成效的关键。</w:t>
      </w:r>
      <w:r>
        <w:rPr>
          <w:rFonts w:hint="eastAsia" w:ascii="仿宋" w:hAnsi="仿宋" w:eastAsia="仿宋" w:cs="仿宋"/>
          <w:sz w:val="32"/>
          <w:szCs w:val="32"/>
          <w:lang w:eastAsia="zh-CN"/>
        </w:rPr>
        <w:t>组织开展“两高司法解释培训”、“废气、废水在线监测系统执法监察业务培训”</w:t>
      </w:r>
      <w:r>
        <w:rPr>
          <w:rFonts w:hint="eastAsia" w:ascii="仿宋" w:hAnsi="仿宋" w:eastAsia="仿宋" w:cs="仿宋"/>
          <w:sz w:val="32"/>
          <w:szCs w:val="32"/>
          <w:highlight w:val="none"/>
          <w:lang w:val="en-US" w:eastAsia="zh-CN"/>
        </w:rPr>
        <w:t>等多次</w:t>
      </w:r>
      <w:r>
        <w:rPr>
          <w:rFonts w:hint="eastAsia" w:ascii="仿宋" w:hAnsi="仿宋" w:eastAsia="仿宋" w:cs="仿宋"/>
          <w:sz w:val="32"/>
          <w:szCs w:val="32"/>
        </w:rPr>
        <w:t>环境执法培训，全面营造“比、学、赶、帮、超”的工作氛围。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楷体" w:hAnsi="楷体" w:eastAsia="楷体" w:cs="楷体"/>
          <w:sz w:val="32"/>
          <w:szCs w:val="32"/>
        </w:rPr>
        <w:t>（二）强化监管，把实战处置作为工作手段。</w:t>
      </w:r>
      <w:r>
        <w:rPr>
          <w:rFonts w:hint="eastAsia" w:ascii="仿宋" w:hAnsi="仿宋" w:eastAsia="仿宋" w:cs="仿宋"/>
          <w:sz w:val="32"/>
          <w:szCs w:val="32"/>
        </w:rPr>
        <w:t>坚持学以致用，要求执法人员在学习中练兵，在实战中提高知识、技能和本领，坚决克服练兵和实战“两张皮”现象。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b/>
          <w:bCs/>
          <w:sz w:val="32"/>
          <w:szCs w:val="32"/>
          <w:lang w:eastAsia="zh-CN"/>
        </w:rPr>
        <w:t>一是</w:t>
      </w:r>
      <w:r>
        <w:rPr>
          <w:rFonts w:hint="eastAsia" w:ascii="仿宋" w:hAnsi="仿宋" w:eastAsia="仿宋" w:cs="仿宋"/>
          <w:b/>
          <w:bCs/>
          <w:sz w:val="32"/>
          <w:szCs w:val="32"/>
        </w:rPr>
        <w:t>监管全覆盖。全面推行“双随机”抽查机制，</w:t>
      </w:r>
      <w:r>
        <w:rPr>
          <w:rFonts w:hint="eastAsia" w:ascii="仿宋" w:hAnsi="仿宋" w:eastAsia="仿宋" w:cs="仿宋"/>
          <w:sz w:val="32"/>
          <w:szCs w:val="32"/>
        </w:rPr>
        <w:t>按照“应纳尽纳”的原则，全面扩大范围，将全区所有环境监管对象共</w:t>
      </w:r>
      <w:r>
        <w:rPr>
          <w:rFonts w:hint="eastAsia" w:ascii="仿宋" w:hAnsi="仿宋" w:eastAsia="仿宋" w:cs="仿宋"/>
          <w:sz w:val="32"/>
          <w:szCs w:val="32"/>
          <w:lang w:val="en-US" w:eastAsia="zh-CN"/>
        </w:rPr>
        <w:t>768</w:t>
      </w:r>
      <w:r>
        <w:rPr>
          <w:rFonts w:hint="eastAsia" w:ascii="仿宋" w:hAnsi="仿宋" w:eastAsia="仿宋" w:cs="仿宋"/>
          <w:sz w:val="32"/>
          <w:szCs w:val="32"/>
        </w:rPr>
        <w:t>家企业纳入随机抽查企业名录库（其中一般源企业710家、重点源企业58家）</w:t>
      </w:r>
      <w:r>
        <w:rPr>
          <w:rFonts w:hint="eastAsia" w:ascii="仿宋" w:hAnsi="仿宋" w:eastAsia="仿宋" w:cs="仿宋"/>
          <w:sz w:val="32"/>
          <w:szCs w:val="32"/>
          <w:lang w:eastAsia="zh-CN"/>
        </w:rPr>
        <w:t>，</w:t>
      </w:r>
      <w:r>
        <w:rPr>
          <w:rFonts w:hint="eastAsia" w:ascii="仿宋" w:hAnsi="仿宋" w:eastAsia="仿宋" w:cs="仿宋"/>
          <w:sz w:val="32"/>
          <w:szCs w:val="32"/>
        </w:rPr>
        <w:t>对偷排偷放、非法排放有毒有害污染物、非法处置危险废物、不正常使用污染防治设施、伪造或篡改环境监测数据等恶意违法行为，依法严厉处罚，形成了严厉打击环境违法行为的高压态势。</w:t>
      </w:r>
      <w:r>
        <w:rPr>
          <w:rFonts w:hint="eastAsia" w:ascii="仿宋" w:hAnsi="仿宋" w:eastAsia="仿宋" w:cs="仿宋"/>
          <w:b/>
          <w:bCs/>
          <w:sz w:val="32"/>
          <w:szCs w:val="32"/>
          <w:lang w:eastAsia="zh-CN"/>
        </w:rPr>
        <w:t>筑牢苏鲁边界环境防线，</w:t>
      </w:r>
      <w:r>
        <w:rPr>
          <w:rFonts w:hint="eastAsia" w:ascii="仿宋" w:hAnsi="仿宋" w:eastAsia="仿宋" w:cs="仿宋"/>
          <w:b w:val="0"/>
          <w:bCs w:val="0"/>
          <w:sz w:val="32"/>
          <w:szCs w:val="32"/>
          <w:lang w:eastAsia="zh-CN"/>
        </w:rPr>
        <w:t>与周边山东省莒南县、临沭县、岚山区建立联动联合执法机制，召开联席会议</w:t>
      </w:r>
      <w:r>
        <w:rPr>
          <w:rFonts w:hint="eastAsia" w:ascii="仿宋" w:hAnsi="仿宋" w:eastAsia="仿宋" w:cs="仿宋"/>
          <w:b w:val="0"/>
          <w:bCs w:val="0"/>
          <w:sz w:val="32"/>
          <w:szCs w:val="32"/>
          <w:lang w:val="en-US" w:eastAsia="zh-CN"/>
        </w:rPr>
        <w:t>2次，开展了饮用水源地沿线联合执法行动2次</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b/>
          <w:bCs/>
          <w:sz w:val="32"/>
          <w:szCs w:val="32"/>
          <w:lang w:eastAsia="zh-CN"/>
        </w:rPr>
        <w:t>二是</w:t>
      </w:r>
      <w:r>
        <w:rPr>
          <w:rFonts w:hint="eastAsia" w:ascii="仿宋" w:hAnsi="仿宋" w:eastAsia="仿宋" w:cs="仿宋"/>
          <w:b/>
          <w:bCs/>
          <w:sz w:val="32"/>
          <w:szCs w:val="32"/>
        </w:rPr>
        <w:t>执法动真格。</w:t>
      </w:r>
      <w:r>
        <w:rPr>
          <w:rFonts w:hint="eastAsia" w:ascii="仿宋" w:hAnsi="仿宋" w:eastAsia="仿宋" w:cs="仿宋"/>
          <w:sz w:val="32"/>
          <w:szCs w:val="32"/>
        </w:rPr>
        <w:t>大练兵期间，继续优化环境执法流程，聘请法律顾问全过程指导环境执法和行政处罚。在运用集中检查、联动执法、约谈企业、技术指导和服务的基础上，进一步探索“双随机”检查和错时执法的新路径。大练兵期</w:t>
      </w:r>
      <w:r>
        <w:rPr>
          <w:rFonts w:hint="eastAsia" w:ascii="仿宋" w:hAnsi="仿宋" w:eastAsia="仿宋" w:cs="仿宋"/>
          <w:sz w:val="32"/>
          <w:szCs w:val="32"/>
          <w:highlight w:val="none"/>
        </w:rPr>
        <w:t>间共开展夜查</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rPr>
        <w:t>次，节假日突击检查</w:t>
      </w:r>
      <w:r>
        <w:rPr>
          <w:rFonts w:hint="eastAsia" w:ascii="仿宋" w:hAnsi="仿宋" w:eastAsia="仿宋" w:cs="仿宋"/>
          <w:sz w:val="32"/>
          <w:szCs w:val="32"/>
          <w:highlight w:val="none"/>
          <w:lang w:val="en-US" w:eastAsia="zh-CN"/>
        </w:rPr>
        <w:t>16</w:t>
      </w:r>
      <w:r>
        <w:rPr>
          <w:rFonts w:hint="eastAsia" w:ascii="仿宋" w:hAnsi="仿宋" w:eastAsia="仿宋" w:cs="仿宋"/>
          <w:sz w:val="32"/>
          <w:szCs w:val="32"/>
          <w:highlight w:val="none"/>
        </w:rPr>
        <w:t>次。</w:t>
      </w:r>
      <w:r>
        <w:rPr>
          <w:rFonts w:hint="eastAsia" w:ascii="仿宋" w:hAnsi="仿宋" w:eastAsia="仿宋" w:cs="仿宋"/>
          <w:sz w:val="32"/>
          <w:szCs w:val="32"/>
        </w:rPr>
        <w:t>增加检查频率，加大监管力度，查办一批典型环境违法案件，对当事人拒不执行的案件，依法移送人民法院予以强制执行。大练兵活动开展以来，共出动检查人员</w:t>
      </w:r>
      <w:r>
        <w:rPr>
          <w:rFonts w:hint="eastAsia" w:ascii="仿宋" w:hAnsi="仿宋" w:eastAsia="仿宋" w:cs="仿宋"/>
          <w:sz w:val="32"/>
          <w:szCs w:val="32"/>
          <w:highlight w:val="none"/>
          <w:lang w:val="en-US" w:eastAsia="zh-CN"/>
        </w:rPr>
        <w:t>22</w:t>
      </w:r>
      <w:r>
        <w:rPr>
          <w:rFonts w:hint="eastAsia" w:ascii="仿宋" w:hAnsi="仿宋" w:eastAsia="仿宋" w:cs="仿宋"/>
          <w:sz w:val="32"/>
          <w:szCs w:val="32"/>
          <w:highlight w:val="none"/>
        </w:rPr>
        <w:t>00</w:t>
      </w:r>
      <w:r>
        <w:rPr>
          <w:rFonts w:hint="eastAsia" w:ascii="仿宋" w:hAnsi="仿宋" w:eastAsia="仿宋" w:cs="仿宋"/>
          <w:sz w:val="32"/>
          <w:szCs w:val="32"/>
        </w:rPr>
        <w:t>余人次，检查企业</w:t>
      </w:r>
      <w:r>
        <w:rPr>
          <w:rFonts w:hint="eastAsia" w:ascii="仿宋" w:hAnsi="仿宋" w:eastAsia="仿宋" w:cs="仿宋"/>
          <w:sz w:val="32"/>
          <w:szCs w:val="32"/>
          <w:highlight w:val="none"/>
        </w:rPr>
        <w:t>1</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00</w:t>
      </w:r>
      <w:r>
        <w:rPr>
          <w:rFonts w:hint="eastAsia" w:ascii="仿宋" w:hAnsi="仿宋" w:eastAsia="仿宋" w:cs="仿宋"/>
          <w:sz w:val="32"/>
          <w:szCs w:val="32"/>
        </w:rPr>
        <w:t>余厂次，共立案查处各类环境违法案件</w:t>
      </w:r>
      <w:r>
        <w:rPr>
          <w:rFonts w:hint="eastAsia" w:ascii="仿宋" w:hAnsi="仿宋" w:eastAsia="仿宋" w:cs="仿宋"/>
          <w:sz w:val="32"/>
          <w:szCs w:val="32"/>
          <w:lang w:val="en-US" w:eastAsia="zh-CN"/>
        </w:rPr>
        <w:t>505</w:t>
      </w:r>
      <w:r>
        <w:rPr>
          <w:rFonts w:hint="eastAsia" w:ascii="仿宋" w:hAnsi="仿宋" w:eastAsia="仿宋" w:cs="仿宋"/>
          <w:sz w:val="32"/>
          <w:szCs w:val="32"/>
        </w:rPr>
        <w:t>件，其中行政处罚282件，处罚金额2026.48万元，环保法配套办法</w:t>
      </w:r>
      <w:r>
        <w:rPr>
          <w:rFonts w:hint="eastAsia" w:ascii="仿宋" w:hAnsi="仿宋" w:eastAsia="仿宋" w:cs="仿宋"/>
          <w:sz w:val="32"/>
          <w:szCs w:val="32"/>
          <w:lang w:val="en-US" w:eastAsia="zh-CN"/>
        </w:rPr>
        <w:t>178</w:t>
      </w:r>
      <w:r>
        <w:rPr>
          <w:rFonts w:hint="eastAsia" w:ascii="仿宋" w:hAnsi="仿宋" w:eastAsia="仿宋" w:cs="仿宋"/>
          <w:sz w:val="32"/>
          <w:szCs w:val="32"/>
        </w:rPr>
        <w:t>件，</w:t>
      </w:r>
      <w:r>
        <w:rPr>
          <w:rFonts w:hint="eastAsia" w:ascii="仿宋" w:hAnsi="仿宋" w:eastAsia="仿宋" w:cs="仿宋"/>
          <w:sz w:val="32"/>
          <w:szCs w:val="32"/>
          <w:lang w:eastAsia="zh-CN"/>
        </w:rPr>
        <w:t>责令改正违法行为决定书</w:t>
      </w:r>
      <w:r>
        <w:rPr>
          <w:rFonts w:hint="eastAsia" w:ascii="仿宋" w:hAnsi="仿宋" w:eastAsia="仿宋" w:cs="仿宋"/>
          <w:sz w:val="32"/>
          <w:szCs w:val="32"/>
          <w:lang w:val="en-US" w:eastAsia="zh-CN"/>
        </w:rPr>
        <w:t>43件</w:t>
      </w:r>
      <w:r>
        <w:rPr>
          <w:rFonts w:hint="eastAsia" w:ascii="仿宋" w:hAnsi="仿宋" w:eastAsia="仿宋" w:cs="仿宋"/>
          <w:sz w:val="32"/>
          <w:szCs w:val="32"/>
        </w:rPr>
        <w:t>，</w:t>
      </w:r>
      <w:r>
        <w:rPr>
          <w:rFonts w:hint="eastAsia" w:ascii="仿宋" w:hAnsi="仿宋" w:eastAsia="仿宋" w:cs="仿宋"/>
          <w:sz w:val="32"/>
          <w:szCs w:val="32"/>
          <w:lang w:eastAsia="zh-CN"/>
        </w:rPr>
        <w:t>责令停止排污决定书</w:t>
      </w:r>
      <w:r>
        <w:rPr>
          <w:rFonts w:hint="eastAsia" w:ascii="仿宋" w:hAnsi="仿宋" w:eastAsia="仿宋" w:cs="仿宋"/>
          <w:sz w:val="32"/>
          <w:szCs w:val="32"/>
          <w:lang w:val="en-US" w:eastAsia="zh-CN"/>
        </w:rPr>
        <w:t>2件，</w:t>
      </w:r>
      <w:r>
        <w:rPr>
          <w:rFonts w:hint="eastAsia" w:ascii="仿宋" w:hAnsi="仿宋" w:eastAsia="仿宋" w:cs="仿宋"/>
          <w:sz w:val="32"/>
          <w:szCs w:val="32"/>
        </w:rPr>
        <w:t>有效遏制环境违法行为多发态势。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Times New Roman" w:hAnsi="Times New Roman" w:eastAsia="仿宋_GB2312" w:cs="Times New Roman"/>
          <w:b/>
          <w:bCs/>
          <w:color w:val="auto"/>
          <w:sz w:val="32"/>
          <w:szCs w:val="32"/>
          <w:lang w:val="en-US" w:eastAsia="zh-CN"/>
        </w:rPr>
        <w:t>三是行业大整治。</w:t>
      </w:r>
      <w:r>
        <w:rPr>
          <w:rFonts w:hint="eastAsia" w:ascii="Times New Roman" w:hAnsi="Times New Roman" w:eastAsia="仿宋_GB2312" w:cs="Times New Roman"/>
          <w:b w:val="0"/>
          <w:bCs w:val="0"/>
          <w:color w:val="auto"/>
          <w:sz w:val="32"/>
          <w:szCs w:val="32"/>
          <w:lang w:val="en-US" w:eastAsia="zh-CN"/>
        </w:rPr>
        <w:t>开展重污染小型企业清理整顿专项行动，排查企业444家，其中清理418家、整顿26家；开展船舶修造企业污染防治专项执法检查，排查企业14家，处罚并限期整改12家；开展紫菜行业水污染防治专项执法检查，排查企业105家，加大日常监管，确保合法合规生产；开展混凝土行业污染防治专项执法检查，立案处罚41家；开展燃气行业专项整治，结合全区危化品行业专项整治行动，共对全区11家燃气生产企业进行专项执法检查，对未制定应急预案等环境违法行为立案处罚，处罚金额共计76万元；开展水泥砖行业专项整治，排查水泥大砖企业46家，对存在环境违法行为的40家企业全部责令停产整治并立案处罚；开展工业污染源达标排放工作，完成前三批行业的评估和超标问题企业整改工作，开展第四批行业工业污染源达标排放评估报告编制与一企一档数据填报工作。</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楷体" w:hAnsi="楷体" w:eastAsia="楷体" w:cs="楷体"/>
          <w:color w:val="auto"/>
          <w:sz w:val="32"/>
          <w:szCs w:val="32"/>
        </w:rPr>
        <w:t>改进作风，将提升能力作为工作目标。</w:t>
      </w:r>
      <w:r>
        <w:rPr>
          <w:rFonts w:hint="eastAsia" w:ascii="仿宋" w:hAnsi="仿宋" w:eastAsia="仿宋" w:cs="仿宋"/>
          <w:sz w:val="32"/>
          <w:szCs w:val="32"/>
          <w:lang w:eastAsia="zh-CN"/>
        </w:rPr>
        <w:t>工作中，将改进作风</w:t>
      </w:r>
      <w:r>
        <w:rPr>
          <w:rFonts w:hint="eastAsia" w:ascii="仿宋" w:hAnsi="仿宋" w:eastAsia="仿宋" w:cs="仿宋"/>
          <w:sz w:val="32"/>
          <w:szCs w:val="32"/>
        </w:rPr>
        <w:t>作为执法人员</w:t>
      </w:r>
      <w:r>
        <w:rPr>
          <w:rFonts w:hint="eastAsia" w:ascii="仿宋" w:hAnsi="仿宋" w:eastAsia="仿宋" w:cs="仿宋"/>
          <w:sz w:val="32"/>
          <w:szCs w:val="32"/>
          <w:lang w:eastAsia="zh-CN"/>
        </w:rPr>
        <w:t>提升能力</w:t>
      </w:r>
      <w:r>
        <w:rPr>
          <w:rFonts w:hint="eastAsia" w:ascii="仿宋" w:hAnsi="仿宋" w:eastAsia="仿宋" w:cs="仿宋"/>
          <w:sz w:val="32"/>
          <w:szCs w:val="32"/>
        </w:rPr>
        <w:t>的</w:t>
      </w:r>
      <w:r>
        <w:rPr>
          <w:rFonts w:hint="eastAsia" w:ascii="仿宋" w:hAnsi="仿宋" w:eastAsia="仿宋" w:cs="仿宋"/>
          <w:sz w:val="32"/>
          <w:szCs w:val="32"/>
          <w:lang w:eastAsia="zh-CN"/>
        </w:rPr>
        <w:t>重要举措</w:t>
      </w:r>
      <w:r>
        <w:rPr>
          <w:rFonts w:hint="eastAsia" w:ascii="仿宋" w:hAnsi="仿宋" w:eastAsia="仿宋" w:cs="仿宋"/>
          <w:sz w:val="32"/>
          <w:szCs w:val="32"/>
        </w:rPr>
        <w:t>，把大练兵成果转化为强监管、敢担当、守底线的理念和方法，转化为严执法、善作为，做忠诚环保卫士的精神动力</w:t>
      </w:r>
      <w:r>
        <w:rPr>
          <w:rFonts w:hint="eastAsia" w:ascii="仿宋" w:hAnsi="仿宋" w:eastAsia="仿宋" w:cs="仿宋"/>
          <w:sz w:val="32"/>
          <w:szCs w:val="32"/>
          <w:lang w:eastAsia="zh-CN"/>
        </w:rPr>
        <w:t>。环境执法人员全部通过执法资格考试，实行持证上岗，并统一配置制式服装。将</w:t>
      </w:r>
      <w:r>
        <w:rPr>
          <w:rFonts w:hint="eastAsia" w:ascii="仿宋" w:hAnsi="仿宋" w:eastAsia="仿宋" w:cs="仿宋"/>
          <w:sz w:val="32"/>
          <w:szCs w:val="32"/>
        </w:rPr>
        <w:t>大练兵意识延伸到常态化工作中，优化制度设</w:t>
      </w:r>
      <w:r>
        <w:rPr>
          <w:rFonts w:hint="eastAsia" w:ascii="仿宋" w:hAnsi="仿宋" w:eastAsia="仿宋" w:cs="仿宋"/>
          <w:sz w:val="32"/>
          <w:szCs w:val="32"/>
          <w:lang w:eastAsia="zh-CN"/>
        </w:rPr>
        <w:t>计，编制印发《关于在全局开展新一轮比学赶超活动掀起“高质发展、后发先至”新热潮的实施意见》、《赣榆区关于加强环境执法队伍作风建设的整改方案》等系列方案，进一步</w:t>
      </w:r>
      <w:r>
        <w:rPr>
          <w:rFonts w:hint="eastAsia" w:ascii="仿宋" w:hAnsi="仿宋" w:eastAsia="仿宋" w:cs="仿宋"/>
          <w:sz w:val="32"/>
          <w:szCs w:val="32"/>
        </w:rPr>
        <w:t>完善大练兵活动。</w:t>
      </w:r>
      <w:r>
        <w:rPr>
          <w:rFonts w:hint="eastAsia" w:ascii="仿宋" w:hAnsi="仿宋" w:eastAsia="仿宋" w:cs="仿宋"/>
          <w:sz w:val="32"/>
          <w:szCs w:val="32"/>
          <w:lang w:eastAsia="zh-CN"/>
        </w:rPr>
        <w:t>大练兵期间，结合工作实际，进一步强化环境监管。同时，</w:t>
      </w:r>
      <w:r>
        <w:rPr>
          <w:rFonts w:hint="eastAsia" w:ascii="仿宋" w:hAnsi="仿宋" w:eastAsia="仿宋" w:cs="仿宋"/>
          <w:sz w:val="32"/>
          <w:szCs w:val="32"/>
        </w:rPr>
        <w:t xml:space="preserve">进一步细化内控程序，强化刚性监督，最大限度地压缩权力寻租空间。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二、重点案件办理情况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连云港市易达酒业有限公司违反大气污染防治管理制度案</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案件情况：</w:t>
      </w:r>
      <w:r>
        <w:rPr>
          <w:rFonts w:hint="eastAsia" w:ascii="仿宋" w:hAnsi="仿宋" w:eastAsia="仿宋" w:cs="仿宋"/>
          <w:b w:val="0"/>
          <w:bCs w:val="0"/>
          <w:sz w:val="32"/>
          <w:szCs w:val="32"/>
          <w:lang w:eastAsia="zh-CN"/>
        </w:rPr>
        <w:t>2017年12月27日，连云港市赣榆区环保局执法人员对连云港市易达酒业有限公司进行现场检查，发现该公司未按环评要求安装锅炉燃烧废气二氧化硫在线监测仪；原料库粉碎车间未按环评要求安装布袋除尘器；露天卸料未采取密闭或者喷淋等防尘措施，卸料过程中粉尘无组织排放严重。</w:t>
      </w:r>
    </w:p>
    <w:p>
      <w:pPr>
        <w:keepNext w:val="0"/>
        <w:keepLines w:val="0"/>
        <w:pageBreakBefore w:val="0"/>
        <w:widowControl w:val="0"/>
        <w:numPr>
          <w:ilvl w:val="-1"/>
          <w:numId w:val="0"/>
        </w:numPr>
        <w:tabs>
          <w:tab w:val="left" w:pos="7020"/>
          <w:tab w:val="left" w:pos="7200"/>
        </w:tabs>
        <w:kinsoku/>
        <w:wordWrap/>
        <w:overflowPunct/>
        <w:topLinePunct w:val="0"/>
        <w:autoSpaceDE/>
        <w:autoSpaceDN/>
        <w:bidi w:val="0"/>
        <w:adjustRightInd/>
        <w:snapToGrid/>
        <w:spacing w:line="560" w:lineRule="exact"/>
        <w:ind w:firstLine="643" w:firstLineChars="200"/>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违法情况：</w:t>
      </w:r>
      <w:r>
        <w:rPr>
          <w:rFonts w:hint="eastAsia" w:ascii="仿宋" w:hAnsi="仿宋" w:eastAsia="仿宋" w:cs="仿宋"/>
          <w:b w:val="0"/>
          <w:bCs w:val="0"/>
          <w:sz w:val="32"/>
          <w:szCs w:val="32"/>
          <w:lang w:eastAsia="zh-CN"/>
        </w:rPr>
        <w:t>违反《中华人民共和国大气污染防治法》第二十四条第一款：“企业事业单位和其他生产经营者应当按照国家有关规定和监测规范，对其排放的工业废气和本法第七十八条规定名录中所列有毒有害大气污染物进行监测，并保存原始监测记录。其中，重点排污单位应当安装、使用大气污染物排放自动监测设备，与环境保护主管部门的监控设备联网，保证监测设备正常运行并依法公开排放信息。监测的具体办法和重点排污单位的条件由国务院环境保护主管部门规定。”、第四十三条：“钢铁、建材、有色金属、石油、化工等企业生产过程中排放粉尘、硫化物和氮氧化物的，应当采用清洁生产工艺，配套建设除尘、脱硫、脱硝等装置，或者采取技术改造等其他控制大气污染物排放的措施。”和第七十条第二款：“装卸物料应当采取密闭或者喷淋等方式防治扬尘污染”的规定。</w:t>
      </w:r>
    </w:p>
    <w:p>
      <w:pPr>
        <w:keepNext w:val="0"/>
        <w:keepLines w:val="0"/>
        <w:pageBreakBefore w:val="0"/>
        <w:widowControl w:val="0"/>
        <w:numPr>
          <w:ilvl w:val="-1"/>
          <w:numId w:val="0"/>
        </w:numPr>
        <w:tabs>
          <w:tab w:val="left" w:pos="7020"/>
          <w:tab w:val="left" w:pos="7200"/>
        </w:tabs>
        <w:kinsoku/>
        <w:wordWrap/>
        <w:overflowPunct/>
        <w:topLinePunct w:val="0"/>
        <w:autoSpaceDE/>
        <w:autoSpaceDN/>
        <w:bidi w:val="0"/>
        <w:adjustRightInd/>
        <w:snapToGrid/>
        <w:spacing w:line="560" w:lineRule="exact"/>
        <w:ind w:firstLine="643" w:firstLineChars="200"/>
        <w:textAlignment w:val="auto"/>
        <w:outlineLvl w:val="9"/>
        <w:rPr>
          <w:rFonts w:hint="eastAsia" w:ascii="楷体" w:hAnsi="楷体" w:eastAsia="楷体" w:cs="楷体"/>
          <w:sz w:val="32"/>
          <w:szCs w:val="32"/>
          <w:lang w:eastAsia="zh-CN"/>
        </w:rPr>
      </w:pPr>
      <w:r>
        <w:rPr>
          <w:rFonts w:hint="eastAsia" w:ascii="仿宋" w:hAnsi="仿宋" w:eastAsia="仿宋" w:cs="仿宋"/>
          <w:b/>
          <w:bCs/>
          <w:sz w:val="32"/>
          <w:szCs w:val="32"/>
          <w:lang w:eastAsia="zh-CN"/>
        </w:rPr>
        <w:t>处理情况：</w:t>
      </w:r>
      <w:r>
        <w:rPr>
          <w:rFonts w:hint="eastAsia" w:ascii="仿宋_GB2312" w:hAnsi="仿宋_GB2312" w:eastAsia="仿宋_GB2312" w:cs="仿宋_GB2312"/>
          <w:sz w:val="32"/>
          <w:szCs w:val="32"/>
          <w:lang w:val="en-US" w:eastAsia="zh-CN"/>
        </w:rPr>
        <w:t>根据《中华人民共和国大气污染防治法》第一百条第三项、第一百零八条第五项、第一百一十七条第三项的规定，我局对该企业“未按环评要求安装锅炉燃烧废气二氧化硫在线监测仪”的违法行为，处以罚款人民币5万元；对“原料库粉碎车间未按环评要求安装布袋除尘器”的违法行为，处以罚款人民币5万元；对“露天卸料未采取密闭或者喷淋等防尘措施，卸料过程中粉尘无组织排放严重”的违法行为，处以罚款人民币8万元，罚款共计人民币18万元，同时责令该公司立即改正违法行为。</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典型案件办理情况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 w:hAnsi="楷体" w:eastAsia="楷体" w:cs="楷体"/>
          <w:color w:val="auto"/>
          <w:sz w:val="32"/>
          <w:szCs w:val="32"/>
          <w:lang w:eastAsia="zh-CN"/>
        </w:rPr>
      </w:pPr>
      <w:r>
        <w:rPr>
          <w:rFonts w:hint="eastAsia" w:ascii="楷体" w:hAnsi="楷体" w:eastAsia="楷体" w:cs="楷体"/>
          <w:color w:val="auto"/>
          <w:sz w:val="32"/>
          <w:szCs w:val="32"/>
        </w:rPr>
        <w:t>江苏龙河酒业有限公司</w:t>
      </w:r>
      <w:r>
        <w:rPr>
          <w:rFonts w:hint="eastAsia" w:ascii="楷体" w:hAnsi="楷体" w:eastAsia="楷体" w:cs="楷体"/>
          <w:color w:val="auto"/>
          <w:sz w:val="32"/>
          <w:szCs w:val="32"/>
          <w:lang w:eastAsia="zh-CN"/>
        </w:rPr>
        <w:t>水污染案件</w:t>
      </w:r>
    </w:p>
    <w:p>
      <w:pPr>
        <w:keepNext w:val="0"/>
        <w:keepLines w:val="0"/>
        <w:pageBreakBefore w:val="0"/>
        <w:tabs>
          <w:tab w:val="left" w:pos="5760"/>
        </w:tabs>
        <w:kinsoku/>
        <w:wordWrap/>
        <w:overflowPunct/>
        <w:topLinePunct w:val="0"/>
        <w:autoSpaceDE/>
        <w:bidi w:val="0"/>
        <w:adjustRightInd/>
        <w:spacing w:line="580" w:lineRule="exact"/>
        <w:ind w:left="0" w:leftChars="0" w:firstLine="643" w:firstLineChars="200"/>
        <w:jc w:val="both"/>
        <w:textAlignment w:val="auto"/>
        <w:outlineLvl w:val="9"/>
        <w:rPr>
          <w:rFonts w:hint="eastAsia" w:ascii="仿宋_GB2312" w:hAnsi="宋体" w:eastAsia="仿宋_GB2312" w:cs="宋体"/>
          <w:color w:val="auto"/>
          <w:kern w:val="0"/>
          <w:sz w:val="32"/>
          <w:szCs w:val="32"/>
          <w:lang w:val="en-US" w:eastAsia="zh-CN"/>
        </w:rPr>
      </w:pPr>
      <w:r>
        <w:rPr>
          <w:rFonts w:hint="eastAsia" w:ascii="仿宋" w:hAnsi="仿宋" w:eastAsia="仿宋" w:cs="仿宋"/>
          <w:b/>
          <w:bCs/>
          <w:sz w:val="32"/>
          <w:szCs w:val="32"/>
          <w:lang w:eastAsia="zh-CN"/>
        </w:rPr>
        <w:t>案件情况：</w:t>
      </w:r>
      <w:r>
        <w:rPr>
          <w:rFonts w:hint="eastAsia" w:ascii="仿宋_GB2312" w:hAnsi="宋体" w:eastAsia="仿宋_GB2312" w:cs="宋体"/>
          <w:kern w:val="0"/>
          <w:sz w:val="32"/>
          <w:szCs w:val="32"/>
          <w:lang w:val="en-US" w:eastAsia="zh-CN"/>
        </w:rPr>
        <w:t>2018年1月3日，</w:t>
      </w:r>
      <w:r>
        <w:rPr>
          <w:rFonts w:hint="eastAsia" w:ascii="仿宋_GB2312" w:hAnsi="仿宋" w:eastAsia="仿宋_GB2312"/>
          <w:color w:val="auto"/>
          <w:sz w:val="32"/>
          <w:szCs w:val="32"/>
        </w:rPr>
        <w:t>江苏龙河酒业有限公司</w:t>
      </w:r>
      <w:r>
        <w:rPr>
          <w:rFonts w:hint="eastAsia" w:ascii="仿宋_GB2312" w:hAnsi="宋体" w:eastAsia="仿宋_GB2312" w:cs="宋体"/>
          <w:kern w:val="0"/>
          <w:sz w:val="32"/>
          <w:szCs w:val="32"/>
          <w:lang w:val="en-US" w:eastAsia="zh-CN"/>
        </w:rPr>
        <w:t>生产车间发酵罐发生泄漏，事故发生后，你公司未能及时采取应急隔离等措施，造成部分发酵醪进入厂区清下水管网并流至外环境，造成水污染物浓度超过《</w:t>
      </w:r>
      <w:r>
        <w:rPr>
          <w:rFonts w:hint="eastAsia" w:ascii="仿宋_GB2312" w:hAnsi="宋体" w:eastAsia="仿宋_GB2312" w:cs="宋体"/>
          <w:kern w:val="0"/>
          <w:sz w:val="32"/>
          <w:szCs w:val="32"/>
          <w:lang w:val="en-US" w:eastAsia="zh-CN"/>
        </w:rPr>
        <w:fldChar w:fldCharType="begin"/>
      </w:r>
      <w:r>
        <w:rPr>
          <w:rFonts w:hint="eastAsia" w:ascii="仿宋_GB2312" w:hAnsi="宋体" w:eastAsia="仿宋_GB2312" w:cs="宋体"/>
          <w:kern w:val="0"/>
          <w:sz w:val="32"/>
          <w:szCs w:val="32"/>
          <w:lang w:val="en-US" w:eastAsia="zh-CN"/>
        </w:rPr>
        <w:instrText xml:space="preserve"> HYPERLINK "http://www.baidu.com/link?url=vo1AI3qwa9C6kFuaELGx4xCwyqR5b0toTXiK5PwaBAgnnZhcD06bd5Zgo_Bb49RFEOTETl06p-cvt-YCzZG4P2shxFootwfl_wXUDgtXC87" \t "https://www.baidu.com/_blank" </w:instrText>
      </w:r>
      <w:r>
        <w:rPr>
          <w:rFonts w:hint="eastAsia" w:ascii="仿宋_GB2312" w:hAnsi="宋体" w:eastAsia="仿宋_GB2312" w:cs="宋体"/>
          <w:kern w:val="0"/>
          <w:sz w:val="32"/>
          <w:szCs w:val="32"/>
          <w:lang w:val="en-US" w:eastAsia="zh-CN"/>
        </w:rPr>
        <w:fldChar w:fldCharType="separate"/>
      </w:r>
      <w:r>
        <w:rPr>
          <w:rFonts w:hint="eastAsia" w:ascii="仿宋_GB2312" w:hAnsi="宋体" w:eastAsia="仿宋_GB2312" w:cs="宋体"/>
          <w:kern w:val="0"/>
          <w:sz w:val="32"/>
          <w:szCs w:val="32"/>
          <w:lang w:val="en-US" w:eastAsia="zh-CN"/>
        </w:rPr>
        <w:t>发酵酒精和白酒工业水污染物排放标准</w:t>
      </w:r>
      <w:r>
        <w:rPr>
          <w:rFonts w:hint="eastAsia" w:ascii="仿宋_GB2312" w:hAnsi="宋体" w:eastAsia="仿宋_GB2312" w:cs="宋体"/>
          <w:kern w:val="0"/>
          <w:sz w:val="32"/>
          <w:szCs w:val="32"/>
          <w:lang w:val="en-US" w:eastAsia="zh-CN"/>
        </w:rPr>
        <w:fldChar w:fldCharType="end"/>
      </w:r>
      <w:r>
        <w:rPr>
          <w:rFonts w:hint="eastAsia" w:ascii="仿宋_GB2312" w:hAnsi="宋体" w:eastAsia="仿宋_GB2312" w:cs="宋体"/>
          <w:kern w:val="0"/>
          <w:sz w:val="32"/>
          <w:szCs w:val="32"/>
          <w:lang w:val="en-US" w:eastAsia="zh-CN"/>
        </w:rPr>
        <w:t>》(GB 27631-2011)表2直接排放限值。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宋体" w:eastAsia="仿宋_GB2312" w:cs="宋体"/>
          <w:kern w:val="0"/>
          <w:sz w:val="32"/>
          <w:szCs w:val="32"/>
          <w:lang w:val="en-US" w:eastAsia="zh-CN"/>
        </w:rPr>
      </w:pPr>
      <w:r>
        <w:rPr>
          <w:rFonts w:hint="eastAsia" w:ascii="仿宋" w:hAnsi="仿宋" w:eastAsia="仿宋" w:cs="仿宋"/>
          <w:b/>
          <w:bCs/>
          <w:sz w:val="32"/>
          <w:szCs w:val="32"/>
          <w:lang w:eastAsia="zh-CN"/>
        </w:rPr>
        <w:t>违法情况：</w:t>
      </w:r>
      <w:r>
        <w:rPr>
          <w:rFonts w:hint="eastAsia" w:ascii="仿宋_GB2312" w:hAnsi="宋体" w:eastAsia="仿宋_GB2312" w:cs="宋体"/>
          <w:kern w:val="0"/>
          <w:sz w:val="32"/>
          <w:szCs w:val="32"/>
          <w:lang w:val="en-US" w:eastAsia="zh-CN"/>
        </w:rPr>
        <w:t>违反《中华人民共和国水污染防治法》第七十八条第一款：“企业事业单位发生事故或者其他突发性事件，造成或者可能造成水污染事故的,应当立即启动本单位的应急方案，采取隔离等应急措施，防止水污染物进入水体，并向事故发生地的县级以上地方人民政府或者环境保护主管部门报告。环境保护主管部门接到报告后，应当及时向本级人民政府报告，并抄送有关部门”的规定。</w:t>
      </w:r>
    </w:p>
    <w:p>
      <w:pPr>
        <w:keepNext w:val="0"/>
        <w:keepLines w:val="0"/>
        <w:pageBreakBefore w:val="0"/>
        <w:kinsoku/>
        <w:wordWrap/>
        <w:overflowPunct/>
        <w:topLinePunct w:val="0"/>
        <w:autoSpaceDE/>
        <w:bidi w:val="0"/>
        <w:adjustRightInd/>
        <w:spacing w:line="580" w:lineRule="exact"/>
        <w:ind w:left="0" w:leftChars="0" w:firstLine="643" w:firstLineChars="200"/>
        <w:jc w:val="both"/>
        <w:textAlignment w:val="auto"/>
        <w:outlineLvl w:val="9"/>
      </w:pPr>
      <w:r>
        <w:rPr>
          <w:rFonts w:hint="eastAsia" w:ascii="仿宋" w:hAnsi="仿宋" w:eastAsia="仿宋" w:cs="仿宋"/>
          <w:b/>
          <w:bCs/>
          <w:sz w:val="32"/>
          <w:szCs w:val="32"/>
          <w:lang w:eastAsia="zh-CN"/>
        </w:rPr>
        <w:t>处理情况：</w:t>
      </w:r>
      <w:r>
        <w:rPr>
          <w:rFonts w:hint="eastAsia" w:ascii="仿宋_GB2312" w:hAnsi="宋体" w:eastAsia="仿宋_GB2312" w:cs="宋体"/>
          <w:kern w:val="0"/>
          <w:sz w:val="32"/>
          <w:szCs w:val="32"/>
          <w:lang w:val="en-US" w:eastAsia="zh-CN"/>
        </w:rPr>
        <w:t>根</w:t>
      </w:r>
      <w:r>
        <w:rPr>
          <w:rFonts w:hint="default" w:ascii="仿宋_GB2312" w:hAnsi="宋体" w:eastAsia="仿宋_GB2312" w:cs="宋体"/>
          <w:kern w:val="0"/>
          <w:sz w:val="32"/>
          <w:szCs w:val="32"/>
          <w:lang w:val="en-US" w:eastAsia="zh-CN"/>
        </w:rPr>
        <w:t>据</w:t>
      </w:r>
      <w:r>
        <w:rPr>
          <w:rFonts w:hint="eastAsia" w:ascii="仿宋_GB2312" w:hAnsi="宋体" w:eastAsia="仿宋_GB2312" w:cs="宋体"/>
          <w:color w:val="auto"/>
          <w:kern w:val="0"/>
          <w:sz w:val="32"/>
          <w:szCs w:val="32"/>
          <w:lang w:val="en-US" w:eastAsia="zh-CN"/>
        </w:rPr>
        <w:t>《中华人民共和国水污染防治法》第九十三条第二项规定、《中华人民共和国环境保护法》第六十条规定、《环境保护主管部门实施限制生产、停产整治办法》第六条第五项规定，</w:t>
      </w:r>
      <w:r>
        <w:rPr>
          <w:rFonts w:hint="eastAsia" w:ascii="仿宋_GB2312" w:hAnsi="宋体" w:eastAsia="仿宋_GB2312" w:cs="宋体"/>
          <w:kern w:val="0"/>
          <w:sz w:val="32"/>
          <w:szCs w:val="32"/>
          <w:lang w:val="en-US" w:eastAsia="zh-CN"/>
        </w:rPr>
        <w:t>我局对江苏龙河酒业有限公司</w:t>
      </w:r>
      <w:r>
        <w:rPr>
          <w:rFonts w:hint="default" w:ascii="仿宋_GB2312" w:hAnsi="宋体" w:eastAsia="仿宋_GB2312" w:cs="宋体"/>
          <w:kern w:val="0"/>
          <w:sz w:val="32"/>
          <w:szCs w:val="32"/>
          <w:lang w:val="en-US" w:eastAsia="zh-CN"/>
        </w:rPr>
        <w:t>实施停产整治决定</w:t>
      </w:r>
      <w:r>
        <w:rPr>
          <w:rFonts w:hint="eastAsia" w:ascii="仿宋_GB2312" w:hAnsi="宋体" w:eastAsia="仿宋_GB2312" w:cs="宋体"/>
          <w:color w:val="auto"/>
          <w:kern w:val="0"/>
          <w:sz w:val="32"/>
          <w:szCs w:val="32"/>
          <w:lang w:eastAsia="zh-CN"/>
        </w:rPr>
        <w:t>，</w:t>
      </w:r>
      <w:r>
        <w:rPr>
          <w:rFonts w:hint="default" w:ascii="仿宋_GB2312" w:hAnsi="宋体" w:eastAsia="仿宋_GB2312" w:cs="宋体"/>
          <w:kern w:val="0"/>
          <w:sz w:val="32"/>
          <w:szCs w:val="32"/>
          <w:lang w:val="en-US" w:eastAsia="zh-CN"/>
        </w:rPr>
        <w:t>要求立即整改，</w:t>
      </w:r>
      <w:r>
        <w:rPr>
          <w:rFonts w:hint="eastAsia" w:ascii="仿宋_GB2312" w:hAnsi="宋体" w:eastAsia="仿宋_GB2312" w:cs="宋体"/>
          <w:color w:val="auto"/>
          <w:kern w:val="0"/>
          <w:sz w:val="32"/>
          <w:szCs w:val="32"/>
          <w:lang w:eastAsia="zh-CN"/>
        </w:rPr>
        <w:t>并处以罚款人民币</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lang w:eastAsia="zh-CN"/>
        </w:rPr>
        <w:t>万元。</w:t>
      </w:r>
    </w:p>
    <w:sectPr>
      <w:footerReference r:id="rId3" w:type="default"/>
      <w:pgSz w:w="11906" w:h="16838"/>
      <w:pgMar w:top="1440" w:right="1587" w:bottom="1440" w:left="1644"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D5A3A3-4F24-4859-BEF6-EA4F084C300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2FA65742-0C32-4246-B941-F87F6F432B82}"/>
  </w:font>
  <w:font w:name="楷体">
    <w:panose1 w:val="02010609060101010101"/>
    <w:charset w:val="86"/>
    <w:family w:val="modern"/>
    <w:pitch w:val="default"/>
    <w:sig w:usb0="800002BF" w:usb1="38CF7CFA" w:usb2="00000016" w:usb3="00000000" w:csb0="00040001" w:csb1="00000000"/>
    <w:embedRegular r:id="rId3" w:fontKey="{F99B865E-9BB7-4A8C-BD99-C9B8ECC81508}"/>
  </w:font>
  <w:font w:name="仿宋">
    <w:panose1 w:val="02010609060101010101"/>
    <w:charset w:val="86"/>
    <w:family w:val="auto"/>
    <w:pitch w:val="default"/>
    <w:sig w:usb0="800002BF" w:usb1="38CF7CFA" w:usb2="00000016" w:usb3="00000000" w:csb0="00040001" w:csb1="00000000"/>
    <w:embedRegular r:id="rId4" w:fontKey="{1834E827-2939-4120-843B-76B9E618B763}"/>
  </w:font>
  <w:font w:name="仿宋_GB2312">
    <w:panose1 w:val="02010609030101010101"/>
    <w:charset w:val="86"/>
    <w:family w:val="auto"/>
    <w:pitch w:val="default"/>
    <w:sig w:usb0="00000001" w:usb1="080E0000" w:usb2="00000000" w:usb3="00000000" w:csb0="00040000" w:csb1="00000000"/>
    <w:embedRegular r:id="rId5" w:fontKey="{E9796226-30FD-48B3-9D4D-822C6F971F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2661285</wp:posOffset>
              </wp:positionH>
              <wp:positionV relativeFrom="paragraph">
                <wp:posOffset>19050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9.55pt;margin-top:1.5pt;height:144pt;width:144pt;mso-position-horizontal-relative:margin;mso-wrap-style:none;z-index:251658240;mso-width-relative:page;mso-height-relative:page;" filled="f" stroked="f" coordsize="21600,21600" o:gfxdata="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7suBa9YAAAAJAQAADwAAAAAAAAAB&#10;ACAAAAAiAAAAZHJzL2Rvd25yZXYueG1sUEsBAhQAFAAAAAgAh07iQErbzf8SAgAAEwQAAA4AAAAA&#10;AAAAAQAgAAAAJQEAAGRycy9lMm9Eb2MueG1sUEsFBgAAAAAGAAYAWQEAAKk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9E8DB"/>
    <w:multiLevelType w:val="singleLevel"/>
    <w:tmpl w:val="39B9E8DB"/>
    <w:lvl w:ilvl="0" w:tentative="0">
      <w:start w:val="1"/>
      <w:numFmt w:val="chineseCounting"/>
      <w:suff w:val="nothing"/>
      <w:lvlText w:val="（%1）"/>
      <w:lvlJc w:val="left"/>
      <w:rPr>
        <w:rFonts w:hint="eastAsia"/>
      </w:rPr>
    </w:lvl>
  </w:abstractNum>
  <w:abstractNum w:abstractNumId="1">
    <w:nsid w:val="6958655E"/>
    <w:multiLevelType w:val="singleLevel"/>
    <w:tmpl w:val="6958655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2E2769"/>
    <w:rsid w:val="022B4734"/>
    <w:rsid w:val="19AE28FC"/>
    <w:rsid w:val="291264E9"/>
    <w:rsid w:val="33292368"/>
    <w:rsid w:val="43AB225D"/>
    <w:rsid w:val="6D535020"/>
    <w:rsid w:val="6F2E2769"/>
    <w:rsid w:val="70951133"/>
    <w:rsid w:val="7FC22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12\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2018-11-22T08:16:00Z</dcterms:created>
  <dc:creator>梦沽潇湘</dc:creator>
  <cp:lastModifiedBy>zhangyichen</cp:lastModifiedBy>
  <dcterms:modified xsi:type="dcterms:W3CDTF">2018-12-18T03:48:36Z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