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
        <w:ind w:firstLine="0" w:firstLineChars="0"/>
        <w:rPr>
          <w:rFonts w:ascii="宋体" w:hAnsi="宋体"/>
        </w:rPr>
      </w:pPr>
      <w:r>
        <w:rPr>
          <w:rFonts w:hint="eastAsia" w:ascii="宋体" w:hAnsi="宋体"/>
        </w:rPr>
        <w:t>201</w:t>
      </w:r>
      <w:r>
        <w:rPr>
          <w:rFonts w:hint="eastAsia" w:ascii="宋体" w:hAnsi="宋体"/>
          <w:lang w:val="en-US" w:eastAsia="zh-CN"/>
        </w:rPr>
        <w:t>8</w:t>
      </w:r>
      <w:r>
        <w:rPr>
          <w:rFonts w:hint="eastAsia" w:ascii="宋体" w:hAnsi="宋体"/>
        </w:rPr>
        <w:t>年台州市</w:t>
      </w:r>
      <w:r>
        <w:rPr>
          <w:rFonts w:hint="eastAsia" w:ascii="宋体" w:hAnsi="宋体"/>
          <w:lang w:eastAsia="zh-CN"/>
        </w:rPr>
        <w:t>执法工作集体事迹材料</w:t>
      </w:r>
    </w:p>
    <w:p>
      <w:pPr>
        <w:ind w:firstLine="198" w:firstLineChars="62"/>
        <w:jc w:val="left"/>
        <w:rPr>
          <w:rFonts w:ascii="仿宋_GB2312"/>
        </w:rPr>
      </w:pPr>
    </w:p>
    <w:p>
      <w:pPr>
        <w:pageBreakBefore w:val="0"/>
        <w:widowControl w:val="0"/>
        <w:kinsoku/>
        <w:wordWrap/>
        <w:overflowPunct/>
        <w:topLinePunct w:val="0"/>
        <w:autoSpaceDE/>
        <w:autoSpaceDN/>
        <w:bidi w:val="0"/>
        <w:adjustRightInd/>
        <w:snapToGrid/>
        <w:spacing w:line="560" w:lineRule="exact"/>
        <w:ind w:left="0" w:leftChars="0" w:right="0" w:rightChars="0" w:firstLine="640"/>
        <w:jc w:val="both"/>
        <w:textAlignment w:val="auto"/>
        <w:rPr>
          <w:rFonts w:hint="eastAsia" w:ascii="仿宋_GB2312"/>
        </w:rPr>
      </w:pPr>
      <w:r>
        <w:rPr>
          <w:rFonts w:hint="eastAsia" w:ascii="仿宋_GB2312"/>
        </w:rPr>
        <w:t>201</w:t>
      </w:r>
      <w:r>
        <w:rPr>
          <w:rFonts w:hint="eastAsia" w:ascii="仿宋_GB2312"/>
          <w:lang w:val="en-US" w:eastAsia="zh-CN"/>
        </w:rPr>
        <w:t>8</w:t>
      </w:r>
      <w:r>
        <w:rPr>
          <w:rFonts w:hint="eastAsia" w:ascii="仿宋_GB2312"/>
        </w:rPr>
        <w:t>年</w:t>
      </w:r>
      <w:r>
        <w:rPr>
          <w:rFonts w:hint="eastAsia" w:ascii="仿宋_GB2312"/>
          <w:lang w:val="en-US" w:eastAsia="zh-CN"/>
        </w:rPr>
        <w:t>以来</w:t>
      </w:r>
      <w:r>
        <w:rPr>
          <w:rFonts w:hint="eastAsia" w:ascii="仿宋_GB2312"/>
        </w:rPr>
        <w:t>，我市环境监察队伍在省环境执法稽查总队和局党组的正确领导下</w:t>
      </w:r>
      <w:r>
        <w:rPr>
          <w:rFonts w:hint="eastAsia" w:ascii="仿宋_GB2312" w:hAnsi="仿宋_GB2312" w:cs="仿宋_GB2312"/>
        </w:rPr>
        <w:t>，</w:t>
      </w:r>
      <w:r>
        <w:rPr>
          <w:rFonts w:hint="eastAsia" w:ascii="仿宋_GB2312"/>
          <w:sz w:val="32"/>
          <w:szCs w:val="32"/>
          <w:lang w:eastAsia="zh-CN"/>
        </w:rPr>
        <w:t>紧紧</w:t>
      </w:r>
      <w:r>
        <w:rPr>
          <w:rFonts w:hint="eastAsia" w:ascii="仿宋_GB2312" w:eastAsia="仿宋_GB2312"/>
          <w:sz w:val="32"/>
          <w:szCs w:val="32"/>
        </w:rPr>
        <w:t>围绕“美丽台州”</w:t>
      </w:r>
      <w:r>
        <w:rPr>
          <w:rFonts w:hint="eastAsia" w:ascii="仿宋_GB2312"/>
          <w:sz w:val="32"/>
          <w:szCs w:val="32"/>
          <w:lang w:eastAsia="zh-CN"/>
        </w:rPr>
        <w:t>、</w:t>
      </w:r>
      <w:r>
        <w:rPr>
          <w:rFonts w:hint="eastAsia" w:ascii="仿宋_GB2312" w:eastAsia="仿宋_GB2312"/>
          <w:sz w:val="32"/>
          <w:szCs w:val="32"/>
        </w:rPr>
        <w:t>“五水共治”</w:t>
      </w:r>
      <w:r>
        <w:rPr>
          <w:rFonts w:hint="eastAsia" w:ascii="仿宋_GB2312"/>
          <w:sz w:val="32"/>
          <w:szCs w:val="32"/>
          <w:lang w:eastAsia="zh-CN"/>
        </w:rPr>
        <w:t>和“蓝天保卫”</w:t>
      </w:r>
      <w:r>
        <w:rPr>
          <w:rFonts w:hint="eastAsia" w:ascii="仿宋_GB2312" w:eastAsia="仿宋_GB2312"/>
          <w:sz w:val="32"/>
          <w:szCs w:val="32"/>
        </w:rPr>
        <w:t>决策部署，以科学发展观为指导，以</w:t>
      </w:r>
      <w:r>
        <w:rPr>
          <w:rFonts w:hint="eastAsia" w:ascii="仿宋_GB2312"/>
          <w:sz w:val="32"/>
          <w:szCs w:val="32"/>
          <w:lang w:eastAsia="zh-CN"/>
        </w:rPr>
        <w:t>持续改善</w:t>
      </w:r>
      <w:r>
        <w:rPr>
          <w:rFonts w:hint="eastAsia" w:ascii="仿宋_GB2312" w:eastAsia="仿宋_GB2312"/>
          <w:sz w:val="32"/>
          <w:szCs w:val="32"/>
        </w:rPr>
        <w:t>环境质量为核心，</w:t>
      </w:r>
      <w:r>
        <w:rPr>
          <w:rFonts w:hint="eastAsia" w:ascii="仿宋_GB2312" w:hAnsi="仿宋_GB2312" w:cs="仿宋_GB2312"/>
        </w:rPr>
        <w:t>高标准、严要求，拉高标杆，争先进位，各项年度执法任务有序推进。</w:t>
      </w:r>
      <w:r>
        <w:rPr>
          <w:rFonts w:hint="eastAsia" w:ascii="仿宋_GB2312"/>
        </w:rPr>
        <w:t>现将台州市主要工作完成情况汇报如下：</w:t>
      </w:r>
    </w:p>
    <w:p>
      <w:pPr>
        <w:pageBreakBefore w:val="0"/>
        <w:widowControl w:val="0"/>
        <w:kinsoku/>
        <w:wordWrap/>
        <w:overflowPunct/>
        <w:topLinePunct w:val="0"/>
        <w:autoSpaceDE/>
        <w:autoSpaceDN/>
        <w:bidi w:val="0"/>
        <w:adjustRightInd/>
        <w:snapToGrid/>
        <w:spacing w:line="560" w:lineRule="exact"/>
        <w:ind w:left="0" w:leftChars="0" w:right="0" w:rightChars="0" w:firstLine="640"/>
        <w:jc w:val="both"/>
        <w:textAlignment w:val="auto"/>
        <w:rPr>
          <w:rFonts w:hint="eastAsia" w:ascii="仿宋_GB2312"/>
        </w:rPr>
      </w:pPr>
      <w:r>
        <w:rPr>
          <w:rFonts w:hint="eastAsia" w:ascii="黑体" w:hAnsi="黑体" w:eastAsia="黑体" w:cs="黑体"/>
          <w:sz w:val="32"/>
          <w:szCs w:val="32"/>
          <w:lang w:eastAsia="zh-CN"/>
        </w:rPr>
        <w:t>一、</w:t>
      </w:r>
      <w:r>
        <w:rPr>
          <w:rFonts w:hint="eastAsia" w:ascii="黑体" w:hAnsi="黑体" w:eastAsia="黑体" w:cs="黑体"/>
          <w:sz w:val="32"/>
          <w:szCs w:val="32"/>
        </w:rPr>
        <w:t>基本情况</w:t>
      </w:r>
    </w:p>
    <w:p>
      <w:pPr>
        <w:pageBreakBefore w:val="0"/>
        <w:widowControl w:val="0"/>
        <w:kinsoku/>
        <w:wordWrap/>
        <w:overflowPunct/>
        <w:topLinePunct w:val="0"/>
        <w:autoSpaceDE/>
        <w:autoSpaceDN/>
        <w:bidi w:val="0"/>
        <w:adjustRightInd/>
        <w:snapToGrid/>
        <w:spacing w:line="560" w:lineRule="exact"/>
        <w:ind w:left="0" w:leftChars="0" w:right="0" w:rightChars="0" w:firstLine="640"/>
        <w:jc w:val="both"/>
        <w:textAlignment w:val="auto"/>
        <w:rPr>
          <w:rFonts w:hint="eastAsia" w:ascii="仿宋_GB2312" w:eastAsia="仿宋_GB2312"/>
          <w:sz w:val="32"/>
          <w:szCs w:val="32"/>
        </w:rPr>
      </w:pPr>
      <w:r>
        <w:rPr>
          <w:rFonts w:hint="eastAsia" w:ascii="仿宋_GB2312" w:eastAsia="仿宋_GB2312"/>
          <w:sz w:val="32"/>
          <w:szCs w:val="32"/>
        </w:rPr>
        <w:t>201</w:t>
      </w:r>
      <w:r>
        <w:rPr>
          <w:rFonts w:hint="eastAsia" w:ascii="仿宋_GB2312"/>
          <w:sz w:val="32"/>
          <w:szCs w:val="32"/>
          <w:lang w:val="en-US" w:eastAsia="zh-CN"/>
        </w:rPr>
        <w:t>8</w:t>
      </w:r>
      <w:r>
        <w:rPr>
          <w:rFonts w:hint="eastAsia" w:ascii="仿宋_GB2312" w:eastAsia="仿宋_GB2312"/>
          <w:sz w:val="32"/>
          <w:szCs w:val="32"/>
        </w:rPr>
        <w:t>年，</w:t>
      </w:r>
      <w:r>
        <w:rPr>
          <w:rFonts w:hint="eastAsia" w:ascii="仿宋_GB2312"/>
          <w:sz w:val="32"/>
          <w:szCs w:val="32"/>
          <w:lang w:eastAsia="zh-CN"/>
        </w:rPr>
        <w:t>我市环境监察队伍</w:t>
      </w:r>
      <w:r>
        <w:rPr>
          <w:rFonts w:hint="eastAsia" w:ascii="仿宋_GB2312" w:eastAsia="仿宋_GB2312"/>
          <w:sz w:val="32"/>
          <w:szCs w:val="32"/>
        </w:rPr>
        <w:t>以</w:t>
      </w:r>
      <w:r>
        <w:rPr>
          <w:rFonts w:hint="eastAsia" w:ascii="仿宋_GB2312" w:hAnsi="Calibri" w:eastAsia="仿宋_GB2312"/>
          <w:sz w:val="32"/>
          <w:szCs w:val="32"/>
          <w:lang w:eastAsia="zh-CN"/>
        </w:rPr>
        <w:t>生态环境部六大专项执法行动以及省厅“蓝天保卫”、“护水斩污”、“清废净土”三大系列执法攻坚行动</w:t>
      </w:r>
      <w:r>
        <w:rPr>
          <w:rFonts w:hint="eastAsia" w:ascii="仿宋_GB2312"/>
          <w:sz w:val="32"/>
          <w:szCs w:val="32"/>
          <w:lang w:eastAsia="zh-CN"/>
        </w:rPr>
        <w:t>为抓手</w:t>
      </w:r>
      <w:r>
        <w:rPr>
          <w:rFonts w:hint="eastAsia" w:ascii="仿宋_GB2312" w:eastAsia="仿宋_GB2312"/>
          <w:sz w:val="32"/>
          <w:szCs w:val="32"/>
        </w:rPr>
        <w:t>，创新环境环监管方式方法，</w:t>
      </w:r>
      <w:r>
        <w:rPr>
          <w:rFonts w:hint="eastAsia" w:ascii="仿宋_GB2312"/>
          <w:sz w:val="32"/>
          <w:szCs w:val="32"/>
          <w:lang w:eastAsia="zh-CN"/>
        </w:rPr>
        <w:t>持续</w:t>
      </w:r>
      <w:r>
        <w:rPr>
          <w:rFonts w:hint="eastAsia" w:ascii="仿宋_GB2312" w:eastAsia="仿宋_GB2312"/>
          <w:sz w:val="32"/>
          <w:szCs w:val="32"/>
        </w:rPr>
        <w:t>保持环境执法高压</w:t>
      </w:r>
      <w:r>
        <w:rPr>
          <w:rFonts w:hint="eastAsia" w:ascii="仿宋_GB2312"/>
          <w:sz w:val="32"/>
          <w:szCs w:val="32"/>
          <w:lang w:eastAsia="zh-CN"/>
        </w:rPr>
        <w:t>态势</w:t>
      </w:r>
      <w:r>
        <w:rPr>
          <w:rFonts w:hint="eastAsia" w:ascii="仿宋_GB2312" w:eastAsia="仿宋_GB2312"/>
          <w:sz w:val="32"/>
          <w:szCs w:val="32"/>
        </w:rPr>
        <w:t>。</w:t>
      </w:r>
      <w:r>
        <w:rPr>
          <w:rFonts w:hint="eastAsia" w:ascii="仿宋_GB2312" w:hAnsi="仿宋_GB2312" w:eastAsia="仿宋_GB2312" w:cs="仿宋_GB2312"/>
          <w:kern w:val="0"/>
          <w:sz w:val="32"/>
          <w:szCs w:val="32"/>
          <w:lang w:bidi="ar"/>
        </w:rPr>
        <w:t>2018年1至9月，全市共作出行政处罚决定书662件，罚款数额6751.51万元、个案金额10.2万元，移送行政拘留案件109件、行政拘留112人，移送刑事拘留案件18件、刑事拘留48人，实施按日计罚案件5件、限产停产49件、查封扣押476件</w:t>
      </w:r>
      <w:r>
        <w:rPr>
          <w:rFonts w:hint="eastAsia" w:ascii="仿宋_GB2312" w:hAnsi="仿宋_GB2312" w:cs="仿宋_GB2312"/>
          <w:kern w:val="0"/>
          <w:sz w:val="32"/>
          <w:szCs w:val="32"/>
          <w:lang w:eastAsia="zh-CN" w:bidi="ar"/>
        </w:rPr>
        <w:t>。</w:t>
      </w:r>
      <w:r>
        <w:rPr>
          <w:rFonts w:hint="eastAsia" w:ascii="仿宋_GB2312" w:hAnsi="仿宋_GB2312" w:eastAsia="仿宋_GB2312" w:cs="仿宋_GB2312"/>
          <w:kern w:val="0"/>
          <w:sz w:val="32"/>
          <w:szCs w:val="32"/>
          <w:lang w:bidi="ar"/>
        </w:rPr>
        <w:t>其中</w:t>
      </w:r>
      <w:r>
        <w:rPr>
          <w:rFonts w:hint="eastAsia" w:ascii="仿宋_GB2312" w:hAnsi="仿宋_GB2312" w:eastAsia="仿宋_GB2312" w:cs="仿宋_GB2312"/>
          <w:kern w:val="0"/>
          <w:sz w:val="32"/>
          <w:szCs w:val="32"/>
          <w:lang w:eastAsia="zh-CN" w:bidi="ar"/>
        </w:rPr>
        <w:t>，</w:t>
      </w:r>
      <w:r>
        <w:rPr>
          <w:rFonts w:hint="eastAsia" w:ascii="仿宋_GB2312" w:hAnsi="仿宋_GB2312" w:eastAsia="仿宋_GB2312" w:cs="仿宋_GB2312"/>
          <w:kern w:val="0"/>
          <w:sz w:val="32"/>
          <w:szCs w:val="32"/>
          <w:lang w:bidi="ar"/>
        </w:rPr>
        <w:t>罚款数额和个案金额分别较去年同期分别增长13.0%和93.9%</w:t>
      </w:r>
      <w:r>
        <w:rPr>
          <w:rFonts w:hint="eastAsia" w:ascii="仿宋_GB2312" w:hAnsi="仿宋_GB2312" w:eastAsia="仿宋_GB2312" w:cs="仿宋_GB2312"/>
          <w:kern w:val="0"/>
          <w:sz w:val="32"/>
          <w:szCs w:val="32"/>
          <w:lang w:eastAsia="zh-CN" w:bidi="ar"/>
        </w:rPr>
        <w:t>，</w:t>
      </w:r>
      <w:r>
        <w:rPr>
          <w:rFonts w:hint="eastAsia" w:ascii="仿宋_GB2312" w:hAnsi="仿宋_GB2312" w:eastAsia="仿宋_GB2312" w:cs="仿宋_GB2312"/>
          <w:kern w:val="0"/>
          <w:sz w:val="32"/>
          <w:szCs w:val="32"/>
          <w:lang w:bidi="ar"/>
        </w:rPr>
        <w:t>五类案件总数657件,占全省总数的31.7%</w:t>
      </w:r>
      <w:r>
        <w:rPr>
          <w:rFonts w:hint="eastAsia" w:ascii="仿宋_GB2312" w:hAnsi="仿宋_GB2312" w:eastAsia="仿宋_GB2312" w:cs="仿宋_GB2312"/>
          <w:kern w:val="0"/>
          <w:sz w:val="32"/>
          <w:szCs w:val="32"/>
          <w:lang w:eastAsia="zh-CN" w:bidi="ar"/>
        </w:rPr>
        <w:t>，且</w:t>
      </w:r>
      <w:r>
        <w:rPr>
          <w:rFonts w:hint="eastAsia" w:ascii="仿宋_GB2312" w:hAnsi="仿宋_GB2312" w:eastAsia="仿宋_GB2312" w:cs="仿宋_GB2312"/>
          <w:kern w:val="0"/>
          <w:sz w:val="32"/>
          <w:szCs w:val="32"/>
          <w:lang w:val="en-US" w:eastAsia="zh-CN" w:bidi="ar"/>
        </w:rPr>
        <w:t>1-8月环保法配套办法案件办理数量全国第一</w:t>
      </w:r>
      <w:r>
        <w:rPr>
          <w:rFonts w:hint="eastAsia" w:ascii="仿宋_GB2312" w:hAnsi="仿宋_GB2312" w:eastAsia="仿宋_GB2312" w:cs="仿宋_GB2312"/>
          <w:kern w:val="0"/>
          <w:sz w:val="32"/>
          <w:szCs w:val="32"/>
          <w:lang w:bidi="ar"/>
        </w:rPr>
        <w:t>。</w:t>
      </w:r>
    </w:p>
    <w:p>
      <w:pPr>
        <w:pageBreakBefore w:val="0"/>
        <w:widowControl w:val="0"/>
        <w:kinsoku/>
        <w:wordWrap/>
        <w:overflowPunct/>
        <w:topLinePunct w:val="0"/>
        <w:autoSpaceDE/>
        <w:autoSpaceDN/>
        <w:bidi w:val="0"/>
        <w:adjustRightInd/>
        <w:snapToGrid/>
        <w:spacing w:line="560" w:lineRule="exact"/>
        <w:ind w:left="0" w:leftChars="0" w:right="0" w:rightChars="0" w:firstLine="640"/>
        <w:jc w:val="both"/>
        <w:textAlignment w:val="auto"/>
        <w:rPr>
          <w:rFonts w:hint="eastAsia" w:ascii="黑体" w:hAnsi="黑体" w:eastAsia="黑体" w:cs="黑体"/>
          <w:sz w:val="32"/>
          <w:szCs w:val="32"/>
          <w:lang w:eastAsia="zh-CN"/>
        </w:rPr>
      </w:pPr>
      <w:r>
        <w:rPr>
          <w:rFonts w:hint="eastAsia" w:ascii="黑体" w:hAnsi="黑体" w:eastAsia="黑体" w:cs="黑体"/>
          <w:sz w:val="32"/>
          <w:szCs w:val="32"/>
          <w:lang w:eastAsia="zh-CN"/>
        </w:rPr>
        <w:t>二、重点工作完成情况</w:t>
      </w:r>
    </w:p>
    <w:p>
      <w:pPr>
        <w:pStyle w:val="3"/>
        <w:pageBreakBefore w:val="0"/>
        <w:widowControl w:val="0"/>
        <w:kinsoku/>
        <w:wordWrap/>
        <w:overflowPunct/>
        <w:topLinePunct w:val="0"/>
        <w:autoSpaceDE/>
        <w:autoSpaceDN/>
        <w:bidi w:val="0"/>
        <w:adjustRightInd/>
        <w:snapToGrid/>
        <w:spacing w:before="0" w:beforeLines="0" w:after="0" w:afterLines="0" w:line="560" w:lineRule="exact"/>
        <w:ind w:left="0" w:leftChars="0" w:right="0" w:rightChars="0"/>
        <w:jc w:val="both"/>
        <w:textAlignment w:val="auto"/>
      </w:pPr>
      <w:r>
        <w:rPr>
          <w:rFonts w:hint="eastAsia"/>
        </w:rPr>
        <w:t>（一）扎实开展</w:t>
      </w:r>
      <w:r>
        <w:rPr>
          <w:rFonts w:hint="eastAsia"/>
          <w:lang w:eastAsia="zh-CN"/>
        </w:rPr>
        <w:t>浙江省</w:t>
      </w:r>
      <w:r>
        <w:rPr>
          <w:rFonts w:hint="eastAsia"/>
        </w:rPr>
        <w:t>环保督察工作</w:t>
      </w:r>
    </w:p>
    <w:p>
      <w:pPr>
        <w:pageBreakBefore w:val="0"/>
        <w:widowControl w:val="0"/>
        <w:kinsoku/>
        <w:wordWrap/>
        <w:overflowPunct/>
        <w:topLinePunct w:val="0"/>
        <w:autoSpaceDE/>
        <w:autoSpaceDN/>
        <w:bidi w:val="0"/>
        <w:adjustRightInd/>
        <w:snapToGrid/>
        <w:spacing w:line="560" w:lineRule="exact"/>
        <w:ind w:left="0" w:leftChars="0" w:right="0" w:rightChars="0" w:firstLine="640"/>
        <w:jc w:val="both"/>
        <w:textAlignment w:val="auto"/>
        <w:rPr>
          <w:rFonts w:hint="eastAsia" w:ascii="仿宋_GB2312" w:hAnsi="华文中宋" w:eastAsia="仿宋_GB2312"/>
          <w:sz w:val="32"/>
          <w:szCs w:val="32"/>
          <w:lang w:val="en-US" w:eastAsia="zh-CN"/>
        </w:rPr>
      </w:pPr>
      <w:r>
        <w:rPr>
          <w:rFonts w:hint="eastAsia" w:ascii="仿宋_GB2312" w:hAnsi="华文中宋" w:eastAsia="仿宋_GB2312"/>
          <w:sz w:val="32"/>
          <w:szCs w:val="32"/>
          <w:lang w:val="en-US" w:eastAsia="zh-CN"/>
        </w:rPr>
        <w:t>我市成立了台州市迎接</w:t>
      </w:r>
      <w:r>
        <w:rPr>
          <w:rFonts w:hint="eastAsia" w:ascii="仿宋_GB2312" w:hAnsi="华文中宋"/>
          <w:sz w:val="32"/>
          <w:szCs w:val="32"/>
          <w:lang w:val="en-US" w:eastAsia="zh-CN"/>
        </w:rPr>
        <w:t>浙江省</w:t>
      </w:r>
      <w:r>
        <w:rPr>
          <w:rFonts w:hint="eastAsia" w:ascii="仿宋_GB2312" w:hAnsi="华文中宋" w:eastAsia="仿宋_GB2312"/>
          <w:sz w:val="32"/>
          <w:szCs w:val="32"/>
          <w:lang w:val="en-US" w:eastAsia="zh-CN"/>
        </w:rPr>
        <w:t>环境保护督察工作领导小组，第一时间签批、领办、督办重点信访，通过加强领导、落实责任、严明纪律、从严问责，扎实细致地做好各项工作。</w:t>
      </w:r>
      <w:r>
        <w:rPr>
          <w:rFonts w:hint="eastAsia" w:ascii="仿宋_GB2312" w:hAnsi="华文中宋"/>
          <w:sz w:val="32"/>
          <w:szCs w:val="32"/>
          <w:lang w:val="en-US" w:eastAsia="zh-CN"/>
        </w:rPr>
        <w:t>浙江省</w:t>
      </w:r>
      <w:r>
        <w:rPr>
          <w:rFonts w:hint="eastAsia" w:ascii="仿宋_GB2312" w:hAnsi="华文中宋" w:eastAsia="仿宋_GB2312"/>
          <w:sz w:val="32"/>
          <w:szCs w:val="32"/>
          <w:lang w:val="en-US" w:eastAsia="zh-CN"/>
        </w:rPr>
        <w:t>环保督察期间，我市共办理转交信访件</w:t>
      </w:r>
      <w:r>
        <w:rPr>
          <w:rFonts w:hint="eastAsia" w:ascii="仿宋_GB2312" w:hAnsi="华文中宋"/>
          <w:sz w:val="32"/>
          <w:szCs w:val="32"/>
          <w:lang w:val="en-US" w:eastAsia="zh-CN"/>
        </w:rPr>
        <w:t>19</w:t>
      </w:r>
      <w:r>
        <w:rPr>
          <w:rFonts w:hint="eastAsia" w:ascii="仿宋_GB2312" w:hAnsi="华文中宋" w:eastAsia="仿宋_GB2312"/>
          <w:sz w:val="32"/>
          <w:szCs w:val="32"/>
          <w:lang w:val="en-US" w:eastAsia="zh-CN"/>
        </w:rPr>
        <w:t>批次，</w:t>
      </w:r>
      <w:r>
        <w:rPr>
          <w:rFonts w:hint="eastAsia" w:ascii="仿宋_GB2312" w:hAnsi="华文中宋"/>
          <w:sz w:val="32"/>
          <w:szCs w:val="32"/>
          <w:lang w:val="en-US" w:eastAsia="zh-CN"/>
        </w:rPr>
        <w:t>517</w:t>
      </w:r>
      <w:r>
        <w:rPr>
          <w:rFonts w:hint="eastAsia" w:ascii="仿宋_GB2312" w:hAnsi="华文中宋" w:eastAsia="仿宋_GB2312"/>
          <w:sz w:val="32"/>
          <w:szCs w:val="32"/>
          <w:lang w:val="en-US" w:eastAsia="zh-CN"/>
        </w:rPr>
        <w:t>件（重点件</w:t>
      </w:r>
      <w:r>
        <w:rPr>
          <w:rFonts w:hint="eastAsia" w:ascii="仿宋_GB2312" w:hAnsi="华文中宋"/>
          <w:sz w:val="32"/>
          <w:szCs w:val="32"/>
          <w:lang w:val="en-US" w:eastAsia="zh-CN"/>
        </w:rPr>
        <w:t>62</w:t>
      </w:r>
      <w:r>
        <w:rPr>
          <w:rFonts w:hint="eastAsia" w:ascii="仿宋_GB2312" w:hAnsi="华文中宋" w:eastAsia="仿宋_GB2312"/>
          <w:sz w:val="32"/>
          <w:szCs w:val="32"/>
          <w:lang w:val="en-US" w:eastAsia="zh-CN"/>
        </w:rPr>
        <w:t>件），责令整改308家，立案240家，（拟）罚款3447.0529万元，停产27家、查封扣押98家，行政拘留1人。</w:t>
      </w:r>
    </w:p>
    <w:p>
      <w:pPr>
        <w:pageBreakBefore w:val="0"/>
        <w:widowControl w:val="0"/>
        <w:kinsoku/>
        <w:wordWrap/>
        <w:overflowPunct/>
        <w:topLinePunct w:val="0"/>
        <w:autoSpaceDE/>
        <w:autoSpaceDN/>
        <w:bidi w:val="0"/>
        <w:adjustRightInd/>
        <w:snapToGrid/>
        <w:spacing w:line="560" w:lineRule="exact"/>
        <w:ind w:left="0" w:leftChars="0" w:right="0" w:rightChars="0" w:firstLine="643" w:firstLineChars="200"/>
        <w:jc w:val="both"/>
        <w:textAlignment w:val="auto"/>
        <w:rPr>
          <w:rFonts w:hint="eastAsia" w:ascii="仿宋_GB2312" w:eastAsia="仿宋_GB2312"/>
          <w:b/>
          <w:bCs/>
          <w:sz w:val="32"/>
          <w:szCs w:val="32"/>
        </w:rPr>
      </w:pPr>
      <w:r>
        <w:rPr>
          <w:rFonts w:hint="eastAsia" w:ascii="仿宋_GB2312" w:eastAsia="仿宋_GB2312"/>
          <w:b/>
          <w:bCs/>
          <w:sz w:val="32"/>
          <w:szCs w:val="32"/>
          <w:lang w:val="en-US" w:eastAsia="zh-CN"/>
        </w:rPr>
        <w:t>（二）围绕生态环境部十一项专项执法行动和省环保厅三大系列攻坚行动做好专项检</w:t>
      </w:r>
      <w:r>
        <w:rPr>
          <w:rFonts w:hint="eastAsia" w:ascii="仿宋_GB2312" w:eastAsia="仿宋_GB2312"/>
          <w:b/>
          <w:bCs/>
          <w:sz w:val="32"/>
          <w:szCs w:val="32"/>
        </w:rPr>
        <w:t>查。</w:t>
      </w:r>
    </w:p>
    <w:p>
      <w:pPr>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rPr>
          <w:rFonts w:hint="eastAsia" w:ascii="仿宋_GB2312" w:eastAsia="仿宋_GB2312"/>
          <w:bCs/>
          <w:sz w:val="32"/>
          <w:szCs w:val="32"/>
        </w:rPr>
      </w:pPr>
      <w:r>
        <w:rPr>
          <w:color w:val="000000" w:themeColor="text1"/>
          <w14:textFill>
            <w14:solidFill>
              <w14:schemeClr w14:val="tx1"/>
            </w14:solidFill>
          </w14:textFill>
        </w:rPr>
        <w:t>以生态环境部十一项专项执法行动和省环保厅“蓝天保卫”、“护水斩污”、“清废净土”三大系列执法攻坚行动等为抓手，</w:t>
      </w:r>
      <w:r>
        <w:rPr>
          <w:rFonts w:hint="eastAsia"/>
          <w:color w:val="000000" w:themeColor="text1"/>
          <w:lang w:eastAsia="zh-CN"/>
          <w14:textFill>
            <w14:solidFill>
              <w14:schemeClr w14:val="tx1"/>
            </w14:solidFill>
          </w14:textFill>
        </w:rPr>
        <w:t>开展各类专项执法行动。</w:t>
      </w:r>
      <w:r>
        <w:rPr>
          <w:rFonts w:hint="eastAsia" w:ascii="仿宋_GB2312" w:eastAsia="仿宋_GB2312"/>
          <w:b/>
          <w:bCs/>
          <w:sz w:val="32"/>
          <w:szCs w:val="32"/>
        </w:rPr>
        <w:t>一是</w:t>
      </w:r>
      <w:r>
        <w:rPr>
          <w:rFonts w:hint="eastAsia"/>
          <w:color w:val="000000" w:themeColor="text1"/>
          <w:lang w:eastAsia="zh-CN"/>
          <w14:textFill>
            <w14:solidFill>
              <w14:schemeClr w14:val="tx1"/>
            </w14:solidFill>
          </w14:textFill>
        </w:rPr>
        <w:t>开展</w:t>
      </w:r>
      <w:r>
        <w:rPr>
          <w:rFonts w:hint="eastAsia" w:ascii="仿宋_GB2312" w:hAnsi="Calibri" w:eastAsia="仿宋_GB2312"/>
          <w:sz w:val="32"/>
          <w:szCs w:val="32"/>
          <w:lang w:eastAsia="zh-CN"/>
        </w:rPr>
        <w:t>“护水斩污”</w:t>
      </w:r>
      <w:r>
        <w:rPr>
          <w:rFonts w:hint="eastAsia" w:ascii="仿宋_GB2312"/>
          <w:sz w:val="32"/>
          <w:szCs w:val="32"/>
          <w:lang w:val="en-US" w:eastAsia="zh-CN"/>
        </w:rPr>
        <w:t>1号、2号，</w:t>
      </w:r>
      <w:r>
        <w:rPr>
          <w:color w:val="000000" w:themeColor="text1"/>
          <w14:textFill>
            <w14:solidFill>
              <w14:schemeClr w14:val="tx1"/>
            </w14:solidFill>
          </w14:textFill>
        </w:rPr>
        <w:t>重点对饮用水水源保护区的划定和立标定界情况、饮用水水源一级、二级保护区内的违法问题进行摸排，</w:t>
      </w:r>
      <w:r>
        <w:rPr>
          <w:rFonts w:hint="eastAsia"/>
        </w:rPr>
        <w:t>共出动执法人员1120人次，排查县级以上饮用水水源地8个，发现环境问题37个，目前已整治完成</w:t>
      </w:r>
      <w:r>
        <w:rPr>
          <w:rFonts w:hint="eastAsia"/>
          <w:lang w:val="en-US" w:eastAsia="zh-CN"/>
        </w:rPr>
        <w:t>31</w:t>
      </w:r>
      <w:r>
        <w:rPr>
          <w:rFonts w:hint="eastAsia"/>
        </w:rPr>
        <w:t>个</w:t>
      </w:r>
      <w:r>
        <w:rPr>
          <w:rFonts w:hint="eastAsia"/>
          <w:lang w:eastAsia="zh-CN"/>
        </w:rPr>
        <w:t>，同时强化对“十小”企业的排查、打击力度，全市共排查发现</w:t>
      </w:r>
      <w:r>
        <w:rPr>
          <w:rFonts w:hint="eastAsia"/>
          <w:lang w:val="en-US" w:eastAsia="zh-CN"/>
        </w:rPr>
        <w:t>2家小造纸（作坊），并进行了取缔</w:t>
      </w:r>
      <w:r>
        <w:rPr>
          <w:rFonts w:hint="eastAsia" w:ascii="仿宋_GB2312"/>
          <w:sz w:val="32"/>
          <w:szCs w:val="32"/>
          <w:lang w:eastAsia="zh-CN"/>
        </w:rPr>
        <w:t>；</w:t>
      </w:r>
      <w:r>
        <w:rPr>
          <w:rFonts w:hint="eastAsia" w:ascii="仿宋_GB2312"/>
          <w:b/>
          <w:bCs/>
          <w:sz w:val="32"/>
          <w:szCs w:val="32"/>
          <w:lang w:eastAsia="zh-CN"/>
        </w:rPr>
        <w:t>二</w:t>
      </w:r>
      <w:r>
        <w:rPr>
          <w:rFonts w:hint="eastAsia" w:ascii="仿宋_GB2312" w:eastAsia="仿宋_GB2312"/>
          <w:b/>
          <w:bCs/>
          <w:sz w:val="32"/>
          <w:szCs w:val="32"/>
        </w:rPr>
        <w:t>是</w:t>
      </w:r>
      <w:r>
        <w:rPr>
          <w:rFonts w:hint="eastAsia" w:ascii="仿宋_GB2312" w:hAnsi="Calibri" w:eastAsia="仿宋_GB2312"/>
          <w:sz w:val="32"/>
          <w:szCs w:val="32"/>
          <w:lang w:eastAsia="zh-CN"/>
        </w:rPr>
        <w:t>开展“蓝天保卫”</w:t>
      </w:r>
      <w:r>
        <w:rPr>
          <w:rFonts w:hint="eastAsia" w:ascii="仿宋_GB2312"/>
          <w:sz w:val="32"/>
          <w:szCs w:val="32"/>
          <w:lang w:val="en-US" w:eastAsia="zh-CN"/>
        </w:rPr>
        <w:t>1号、2号，重点对</w:t>
      </w:r>
      <w:r>
        <w:rPr>
          <w:color w:val="000000" w:themeColor="text1"/>
          <w14:textFill>
            <w14:solidFill>
              <w14:schemeClr w14:val="tx1"/>
            </w14:solidFill>
          </w14:textFill>
        </w:rPr>
        <w:t>火电（热电）、垃圾焚烧、钢铁、水泥（含粉磨站）等重点大气排污企业以及医化、合成革、涂装等重点涉气、</w:t>
      </w:r>
      <w:r>
        <w:rPr>
          <w:rFonts w:hint="eastAsia"/>
          <w:color w:val="000000" w:themeColor="text1"/>
          <w:lang w:eastAsia="zh-CN"/>
          <w14:textFill>
            <w14:solidFill>
              <w14:schemeClr w14:val="tx1"/>
            </w14:solidFill>
          </w14:textFill>
        </w:rPr>
        <w:t>涉</w:t>
      </w:r>
      <w:r>
        <w:rPr>
          <w:color w:val="000000" w:themeColor="text1"/>
          <w14:textFill>
            <w14:solidFill>
              <w14:schemeClr w14:val="tx1"/>
            </w14:solidFill>
          </w14:textFill>
        </w:rPr>
        <w:t>VOCs行业的大气环境执法监管</w:t>
      </w:r>
      <w:r>
        <w:rPr>
          <w:rFonts w:hint="eastAsia"/>
          <w:color w:val="000000" w:themeColor="text1"/>
          <w:lang w:eastAsia="zh-CN"/>
          <w14:textFill>
            <w14:solidFill>
              <w14:schemeClr w14:val="tx1"/>
            </w14:solidFill>
          </w14:textFill>
        </w:rPr>
        <w:t>，</w:t>
      </w:r>
      <w:r>
        <w:rPr>
          <w:rFonts w:hint="eastAsia" w:ascii="仿宋_GB2312" w:hAnsi="仿宋_GB2312" w:eastAsia="仿宋_GB2312" w:cs="仿宋_GB2312"/>
          <w:sz w:val="32"/>
          <w:szCs w:val="32"/>
        </w:rPr>
        <w:t>共出动检查人员4359人次，检查企业1739家次，立案114件、罚款（拟）1931.3万元，移送公安机关案件11件，责令限期整改企业169家，实施限产停产5家，查封扣押80家</w:t>
      </w:r>
      <w:r>
        <w:rPr>
          <w:rFonts w:hint="eastAsia"/>
        </w:rPr>
        <w:t>，并对台州华迪实业有限公司环境污染问题实施挂牌督办</w:t>
      </w:r>
      <w:r>
        <w:rPr>
          <w:rFonts w:hint="eastAsia" w:ascii="仿宋_GB2312"/>
          <w:sz w:val="32"/>
          <w:szCs w:val="32"/>
          <w:lang w:val="en-US" w:eastAsia="zh-CN"/>
        </w:rPr>
        <w:t>；</w:t>
      </w:r>
      <w:r>
        <w:rPr>
          <w:rFonts w:hint="eastAsia" w:ascii="仿宋_GB2312"/>
          <w:b/>
          <w:bCs/>
          <w:sz w:val="32"/>
          <w:szCs w:val="32"/>
          <w:lang w:eastAsia="zh-CN"/>
        </w:rPr>
        <w:t>三</w:t>
      </w:r>
      <w:r>
        <w:rPr>
          <w:rFonts w:hint="eastAsia" w:ascii="仿宋_GB2312" w:eastAsia="仿宋_GB2312"/>
          <w:b/>
          <w:bCs/>
          <w:sz w:val="32"/>
          <w:szCs w:val="32"/>
        </w:rPr>
        <w:t>是</w:t>
      </w:r>
      <w:r>
        <w:rPr>
          <w:rFonts w:hint="eastAsia" w:ascii="仿宋_GB2312" w:hAnsi="Calibri" w:eastAsia="仿宋_GB2312"/>
          <w:sz w:val="32"/>
          <w:szCs w:val="32"/>
          <w:lang w:eastAsia="zh-CN"/>
        </w:rPr>
        <w:t>开展“清废净土”</w:t>
      </w:r>
      <w:r>
        <w:rPr>
          <w:rFonts w:hint="eastAsia" w:ascii="仿宋_GB2312"/>
          <w:sz w:val="32"/>
          <w:szCs w:val="32"/>
          <w:lang w:val="en-US" w:eastAsia="zh-CN"/>
        </w:rPr>
        <w:t>1号、2号，</w:t>
      </w:r>
      <w:r>
        <w:rPr>
          <w:rFonts w:hint="eastAsia"/>
          <w:color w:val="000000" w:themeColor="text1"/>
          <w14:textFill>
            <w14:solidFill>
              <w14:schemeClr w14:val="tx1"/>
            </w14:solidFill>
          </w14:textFill>
        </w:rPr>
        <w:t>以</w:t>
      </w:r>
      <w:r>
        <w:rPr>
          <w:color w:val="000000" w:themeColor="text1"/>
          <w14:textFill>
            <w14:solidFill>
              <w14:schemeClr w14:val="tx1"/>
            </w14:solidFill>
          </w14:textFill>
        </w:rPr>
        <w:t>进口废物企业、未利用地及周边企业、涉废酸、废矿物油等工业污泥产生企业、危废经营单位为重点，全面排查我市固体废物产生、运输、经营单位，</w:t>
      </w:r>
      <w:r>
        <w:rPr>
          <w:rFonts w:hint="eastAsia"/>
        </w:rPr>
        <w:t>共督查企业64家，立案查处13家，责令整改42家</w:t>
      </w:r>
      <w:r>
        <w:rPr>
          <w:rFonts w:hint="eastAsia" w:ascii="仿宋_GB2312"/>
          <w:bCs/>
          <w:sz w:val="32"/>
          <w:szCs w:val="32"/>
          <w:lang w:eastAsia="zh-CN"/>
        </w:rPr>
        <w:t>。</w:t>
      </w:r>
      <w:r>
        <w:rPr>
          <w:rFonts w:hint="eastAsia" w:ascii="仿宋_GB2312"/>
          <w:b/>
          <w:bCs/>
          <w:sz w:val="32"/>
          <w:szCs w:val="32"/>
          <w:lang w:eastAsia="zh-CN"/>
        </w:rPr>
        <w:t>四</w:t>
      </w:r>
      <w:r>
        <w:rPr>
          <w:rFonts w:hint="eastAsia" w:ascii="仿宋_GB2312" w:eastAsia="仿宋_GB2312"/>
          <w:b/>
          <w:bCs/>
          <w:sz w:val="32"/>
          <w:szCs w:val="32"/>
        </w:rPr>
        <w:t>是</w:t>
      </w:r>
      <w:r>
        <w:rPr>
          <w:rFonts w:hint="eastAsia"/>
        </w:rPr>
        <w:t>进一步贯彻落实“双随机”工作</w:t>
      </w:r>
      <w:r>
        <w:rPr>
          <w:rFonts w:hint="eastAsia"/>
          <w:lang w:eastAsia="zh-CN"/>
        </w:rPr>
        <w:t>，市、县两级环保部门均</w:t>
      </w:r>
      <w:r>
        <w:rPr>
          <w:rFonts w:hint="eastAsia"/>
        </w:rPr>
        <w:t>已按期完成省</w:t>
      </w:r>
      <w:r>
        <w:rPr>
          <w:rFonts w:hint="eastAsia"/>
          <w:lang w:eastAsia="zh-CN"/>
        </w:rPr>
        <w:t>级</w:t>
      </w:r>
      <w:r>
        <w:rPr>
          <w:rFonts w:hint="eastAsia"/>
        </w:rPr>
        <w:t>“双随机”软件系统“两库”建立工作以及“双随机”抽查工作，</w:t>
      </w:r>
      <w:r>
        <w:rPr>
          <w:rFonts w:hint="eastAsia"/>
          <w:lang w:val="en-US" w:eastAsia="zh-CN"/>
        </w:rPr>
        <w:t>2018年1-3季度共抽查一般排污单位548家，重点排污单位197家，特殊监管对象251家次，发现存在环境违法行为企业40家，同时试点开展环保领域跨部门“双随机”工作，</w:t>
      </w:r>
      <w:r>
        <w:rPr>
          <w:rFonts w:hint="eastAsia"/>
        </w:rPr>
        <w:t>联合综合执法局等部门建立了</w:t>
      </w:r>
      <w:r>
        <w:rPr>
          <w:rFonts w:hint="eastAsia"/>
          <w:lang w:val="en-US" w:eastAsia="zh-CN"/>
        </w:rPr>
        <w:t>4</w:t>
      </w:r>
      <w:r>
        <w:rPr>
          <w:rFonts w:hint="eastAsia"/>
        </w:rPr>
        <w:t>个跨部门“双随机”抽查事项</w:t>
      </w:r>
      <w:r>
        <w:rPr>
          <w:rFonts w:hint="eastAsia"/>
          <w:lang w:eastAsia="zh-CN"/>
        </w:rPr>
        <w:t>（污水处理厂、垃圾填埋场、垃圾焚烧厂、饮用水源地）</w:t>
      </w:r>
      <w:r>
        <w:rPr>
          <w:rFonts w:hint="eastAsia"/>
        </w:rPr>
        <w:t>，并已完成2个抽查事项（垃圾填埋场、垃圾焚烧厂）的</w:t>
      </w:r>
      <w:r>
        <w:rPr>
          <w:rFonts w:hint="eastAsia"/>
          <w:lang w:eastAsia="zh-CN"/>
        </w:rPr>
        <w:t>信息公开</w:t>
      </w:r>
      <w:r>
        <w:rPr>
          <w:rFonts w:hint="eastAsia"/>
        </w:rPr>
        <w:t>工作。</w:t>
      </w:r>
      <w:r>
        <w:rPr>
          <w:rFonts w:hint="eastAsia" w:ascii="仿宋_GB2312"/>
          <w:b/>
          <w:bCs/>
          <w:sz w:val="32"/>
          <w:szCs w:val="32"/>
          <w:lang w:eastAsia="zh-CN"/>
        </w:rPr>
        <w:t>五</w:t>
      </w:r>
      <w:r>
        <w:rPr>
          <w:rFonts w:hint="eastAsia" w:ascii="仿宋_GB2312" w:eastAsia="仿宋_GB2312"/>
          <w:b/>
          <w:bCs/>
          <w:sz w:val="32"/>
          <w:szCs w:val="32"/>
        </w:rPr>
        <w:t>是</w:t>
      </w:r>
      <w:r>
        <w:rPr>
          <w:rFonts w:hint="eastAsia"/>
        </w:rPr>
        <w:t>抓好在线监控</w:t>
      </w:r>
      <w:r>
        <w:rPr>
          <w:rFonts w:hint="eastAsia"/>
          <w:lang w:eastAsia="zh-CN"/>
        </w:rPr>
        <w:t>设施监管力度，并</w:t>
      </w:r>
      <w:r>
        <w:rPr>
          <w:rFonts w:hint="eastAsia"/>
        </w:rPr>
        <w:t>在全市范围开展了2018年污染源自动监控设施环境执法专项检查，共出动检查人员596人次，检查企业211家次，立案4件</w:t>
      </w:r>
      <w:r>
        <w:rPr>
          <w:rFonts w:hint="eastAsia"/>
          <w:lang w:eastAsia="zh-CN"/>
        </w:rPr>
        <w:t>、</w:t>
      </w:r>
      <w:r>
        <w:rPr>
          <w:rFonts w:hint="eastAsia"/>
        </w:rPr>
        <w:t>限期整改企业数24家</w:t>
      </w:r>
      <w:r>
        <w:rPr>
          <w:rFonts w:hint="eastAsia"/>
          <w:lang w:eastAsia="zh-CN"/>
        </w:rPr>
        <w:t>、因在线弄虚作假移送公安机关案件</w:t>
      </w:r>
      <w:r>
        <w:rPr>
          <w:rFonts w:hint="eastAsia"/>
          <w:lang w:val="en-US" w:eastAsia="zh-CN"/>
        </w:rPr>
        <w:t>3件、刑事拘留3人</w:t>
      </w:r>
      <w:r>
        <w:rPr>
          <w:rFonts w:hint="eastAsia"/>
        </w:rPr>
        <w:t>。</w:t>
      </w:r>
    </w:p>
    <w:p>
      <w:pPr>
        <w:pageBreakBefore w:val="0"/>
        <w:widowControl w:val="0"/>
        <w:kinsoku/>
        <w:wordWrap/>
        <w:overflowPunct/>
        <w:topLinePunct w:val="0"/>
        <w:autoSpaceDE/>
        <w:autoSpaceDN/>
        <w:bidi w:val="0"/>
        <w:adjustRightInd/>
        <w:snapToGrid/>
        <w:spacing w:line="560" w:lineRule="exact"/>
        <w:ind w:left="0" w:leftChars="0" w:right="0" w:rightChars="0" w:firstLine="643"/>
        <w:textAlignment w:val="auto"/>
        <w:rPr>
          <w:b/>
        </w:rPr>
      </w:pPr>
      <w:r>
        <w:rPr>
          <w:rFonts w:hint="eastAsia" w:ascii="仿宋_GB2312"/>
          <w:b/>
          <w:bCs/>
          <w:sz w:val="32"/>
          <w:szCs w:val="32"/>
          <w:lang w:eastAsia="zh-CN"/>
        </w:rPr>
        <w:t>（三）</w:t>
      </w:r>
      <w:r>
        <w:rPr>
          <w:rFonts w:hint="eastAsia"/>
          <w:b/>
        </w:rPr>
        <w:t>夯实队伍基础能力建设</w:t>
      </w:r>
    </w:p>
    <w:p>
      <w:pPr>
        <w:pageBreakBefore w:val="0"/>
        <w:widowControl w:val="0"/>
        <w:kinsoku/>
        <w:wordWrap/>
        <w:overflowPunct/>
        <w:topLinePunct w:val="0"/>
        <w:autoSpaceDE/>
        <w:autoSpaceDN/>
        <w:bidi w:val="0"/>
        <w:adjustRightInd/>
        <w:snapToGrid/>
        <w:spacing w:line="560" w:lineRule="exact"/>
        <w:ind w:left="0" w:leftChars="0" w:right="0" w:rightChars="0" w:firstLine="643" w:firstLineChars="200"/>
        <w:jc w:val="both"/>
        <w:textAlignment w:val="auto"/>
        <w:rPr>
          <w:rFonts w:hint="eastAsia"/>
          <w:lang w:val="en-US" w:eastAsia="zh-CN"/>
        </w:rPr>
      </w:pPr>
      <w:r>
        <w:rPr>
          <w:rFonts w:hint="eastAsia"/>
          <w:b/>
          <w:bCs/>
          <w:lang w:val="en-US" w:eastAsia="zh-CN"/>
        </w:rPr>
        <w:t>一是</w:t>
      </w:r>
      <w:r>
        <w:rPr>
          <w:rFonts w:hint="eastAsia"/>
          <w:b w:val="0"/>
          <w:bCs w:val="0"/>
          <w:lang w:val="en-US" w:eastAsia="zh-CN"/>
        </w:rPr>
        <w:t>加强党建工作和廉洁教育，</w:t>
      </w:r>
      <w:r>
        <w:rPr>
          <w:rFonts w:hint="eastAsia"/>
          <w:lang w:val="en-US" w:eastAsia="zh-CN"/>
        </w:rPr>
        <w:t>开展党建思想学习，查补党建工作短板，学习十三届全国人大一次会议精神， 组织参加了“红色经典著作展览”、“五四环保绿色行”、“弘扬红船精神，争当时代先锋”等主题党日活动,并在历次工作会议上反复强调廉洁自律</w:t>
      </w:r>
      <w:bookmarkStart w:id="1" w:name="_GoBack"/>
      <w:bookmarkEnd w:id="1"/>
      <w:r>
        <w:rPr>
          <w:rFonts w:hint="eastAsia"/>
          <w:lang w:val="en-US" w:eastAsia="zh-CN"/>
        </w:rPr>
        <w:t>，确保队伍安全。</w:t>
      </w:r>
      <w:r>
        <w:rPr>
          <w:rFonts w:hint="eastAsia"/>
          <w:b/>
          <w:bCs/>
          <w:lang w:val="en-US" w:eastAsia="zh-CN"/>
        </w:rPr>
        <w:t>二是</w:t>
      </w:r>
      <w:r>
        <w:rPr>
          <w:rFonts w:hint="eastAsia"/>
          <w:lang w:val="en-US" w:eastAsia="zh-CN"/>
        </w:rPr>
        <w:t>全面开展大练兵活动。</w:t>
      </w:r>
      <w:bookmarkStart w:id="0" w:name="OLE_LINK1"/>
      <w:r>
        <w:rPr>
          <w:rFonts w:hint="eastAsia"/>
          <w:lang w:val="en-US" w:eastAsia="zh-CN"/>
        </w:rPr>
        <w:t>按照环境部和省</w:t>
      </w:r>
      <w:bookmarkEnd w:id="0"/>
      <w:r>
        <w:rPr>
          <w:rFonts w:hint="eastAsia"/>
          <w:lang w:val="en-US" w:eastAsia="zh-CN"/>
        </w:rPr>
        <w:t>厅部署安排，台州市召开了2018年环境执法大练兵（业务竞赛）活动的动员部署视频会议，要求各地要强化落实，统筹安排，精心组织，并</w:t>
      </w:r>
      <w:r>
        <w:rPr>
          <w:rFonts w:hint="eastAsia" w:eastAsia="仿宋_GB2312"/>
          <w:kern w:val="0"/>
          <w:sz w:val="32"/>
          <w:szCs w:val="32"/>
          <w:lang w:val="en-US" w:eastAsia="zh-CN" w:bidi="ar"/>
        </w:rPr>
        <w:t>在温岭市素质教育实践基地挂牌成立省内首个台州市环境执法培训基地，为全市环境执法人员提供了一个学习交流的平台</w:t>
      </w:r>
      <w:r>
        <w:rPr>
          <w:rFonts w:hint="eastAsia"/>
          <w:kern w:val="0"/>
          <w:sz w:val="32"/>
          <w:szCs w:val="32"/>
          <w:lang w:val="en-US" w:eastAsia="zh-CN" w:bidi="ar"/>
        </w:rPr>
        <w:t>，</w:t>
      </w:r>
      <w:r>
        <w:rPr>
          <w:rFonts w:hint="eastAsia"/>
          <w:lang w:val="en-US" w:eastAsia="zh-CN"/>
        </w:rPr>
        <w:t>2018年6月8日下午，全市范围开展了环境执法大练兵“亮剑1号”实训行动，共检查企业69家，发现存在环境违法行为6家、存在环境管理问题企业24家。以打促练，练打合一，强化内环境执法人员的环保理论知识学习和现场环境执法训练，达到全面锻炼队伍、提升执法水平的预期目标。</w:t>
      </w:r>
      <w:r>
        <w:rPr>
          <w:rFonts w:hint="eastAsia"/>
          <w:b/>
          <w:bCs/>
          <w:lang w:val="en-US" w:eastAsia="zh-CN"/>
        </w:rPr>
        <w:t>三是</w:t>
      </w:r>
      <w:r>
        <w:rPr>
          <w:rFonts w:hint="eastAsia"/>
          <w:lang w:val="en-US" w:eastAsia="zh-CN"/>
        </w:rPr>
        <w:t>加强移动执法系统建设使用。坚持“规范、及时、全面、准确”原则，大力推进移动执法系统管理使用工作。完善污染源一源一档数据库，定期调度使用情况，加强日常考核、稽查、通报；强化平台融合和数据对接，完善执法、处罚、管理等系统功能，推动工作任务流程化，增强网络稳定性；加强业务培训，组织开展移动执法技能测试，以实战促提升，进一步提高我市环境监察现代化、科学化、信息化水平。</w:t>
      </w:r>
    </w:p>
    <w:p>
      <w:pPr>
        <w:pageBreakBefore w:val="0"/>
        <w:widowControl w:val="0"/>
        <w:kinsoku/>
        <w:wordWrap/>
        <w:overflowPunct/>
        <w:topLinePunct w:val="0"/>
        <w:autoSpaceDE/>
        <w:autoSpaceDN/>
        <w:bidi w:val="0"/>
        <w:adjustRightInd/>
        <w:snapToGrid/>
        <w:spacing w:line="560" w:lineRule="exact"/>
        <w:ind w:left="0" w:leftChars="0" w:right="0" w:rightChars="0" w:firstLine="643"/>
        <w:textAlignment w:val="auto"/>
        <w:rPr>
          <w:b/>
        </w:rPr>
      </w:pPr>
      <w:r>
        <w:rPr>
          <w:rFonts w:hint="eastAsia"/>
          <w:b/>
        </w:rPr>
        <w:t>（</w:t>
      </w:r>
      <w:r>
        <w:rPr>
          <w:rFonts w:hint="eastAsia"/>
          <w:b/>
          <w:lang w:eastAsia="zh-CN"/>
        </w:rPr>
        <w:t>四</w:t>
      </w:r>
      <w:r>
        <w:rPr>
          <w:rFonts w:hint="eastAsia"/>
          <w:b/>
        </w:rPr>
        <w:t>）突出亮点工作</w:t>
      </w:r>
    </w:p>
    <w:p>
      <w:pPr>
        <w:rPr>
          <w:rFonts w:hint="eastAsia" w:ascii="仿宋" w:hAnsi="仿宋" w:eastAsia="仿宋_GB2312" w:cstheme="minorBidi"/>
          <w:kern w:val="2"/>
          <w:sz w:val="32"/>
          <w:szCs w:val="22"/>
        </w:rPr>
      </w:pPr>
      <w:r>
        <w:rPr>
          <w:rFonts w:hint="eastAsia"/>
          <w:b/>
          <w:bCs/>
          <w:lang w:val="en-US" w:eastAsia="zh-CN"/>
        </w:rPr>
        <w:t>一是</w:t>
      </w:r>
      <w:r>
        <w:rPr>
          <w:rFonts w:hint="eastAsia"/>
          <w:lang w:val="en-US" w:eastAsia="zh-CN"/>
        </w:rPr>
        <w:t>积极探索第三方环境管理机制。制定出台“环保大管家”项目，委托第三方服务公司对全市环境风险源企业开展环境安全隐患排查工作，第三方服务公司指导跟踪企业做好隐患整治工作，并将每次环境安全隐患排查情况上报市环保局，市环保局对隐患排查情况进行不定期抽查，目前该项目进展良好，有效分担了目前环保执法人员紧缺问题，同时又加大了对环境风险企业的管理，有效防范了企业突发环境事件的发生。</w:t>
      </w:r>
      <w:r>
        <w:rPr>
          <w:rFonts w:hint="eastAsia"/>
          <w:b/>
          <w:bCs/>
          <w:lang w:val="en-US" w:eastAsia="zh-CN"/>
        </w:rPr>
        <w:t>二是</w:t>
      </w:r>
      <w:r>
        <w:rPr>
          <w:rFonts w:hint="eastAsia"/>
          <w:lang w:val="en-US" w:eastAsia="zh-CN"/>
        </w:rPr>
        <w:t>实施“三个必须”扎实落实信访件属地办理责任。结合台州市委市政府的信访工作部署，我局紧扣“清初访、查重访、化积案”的宗旨，对近年以来的赴部去京访、重复访、群体访、信访积案、媒体曝光件等突出环境污染矛盾纠纷进行了全面排查，采取各信访交办件必须明确承办责任人、必须落实责任领导、重点信访件必须实施跟踪回访的“三个必须”，有效推进矛盾纠纷化解。</w:t>
      </w:r>
      <w:r>
        <w:rPr>
          <w:rFonts w:hint="eastAsia"/>
          <w:b/>
          <w:bCs/>
          <w:lang w:val="en-US" w:eastAsia="zh-CN"/>
        </w:rPr>
        <w:t>三是</w:t>
      </w:r>
      <w:r>
        <w:rPr>
          <w:rFonts w:hint="eastAsia"/>
          <w:lang w:val="en-US" w:eastAsia="zh-CN"/>
        </w:rPr>
        <w:t>全程跟踪指导环境信息公开工作。加大宣传力度，专门召开培训会，促使企业熟知信息公开的内容、方式、时限及责任；畅通信息公开渠道，优化完善平台功能，并安排专人定期组织巡查，及时通报相关问题企业，督促限期整改到位，确保公开的环境信息真实、准确、全面；严格执法监管，规范信息公开。将环境信息公开活动的监督检查纳入日常监管执法计划，按照网格化监管要求，做到执法全覆盖、监管无盲点，依法打击不按规定公开环境信息的行为。</w:t>
      </w:r>
    </w:p>
    <w:p>
      <w:pPr>
        <w:rPr>
          <w:rFonts w:hint="eastAsia" w:ascii="仿宋_GB2312" w:eastAsia="仿宋_GB2312"/>
          <w:bCs/>
          <w:szCs w:val="32"/>
          <w:lang w:eastAsia="zh-CN"/>
        </w:rPr>
      </w:pPr>
      <w:r>
        <w:rPr>
          <w:rFonts w:hint="eastAsia" w:ascii="黑体" w:hAnsi="黑体" w:eastAsia="黑体" w:cs="黑体"/>
          <w:bCs/>
          <w:szCs w:val="32"/>
          <w:lang w:eastAsia="zh-CN"/>
        </w:rPr>
        <w:t>三、典型案例查办情况</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outlineLvl w:val="9"/>
        <w:rPr>
          <w:rFonts w:hint="eastAsia" w:ascii="仿宋_GB2312" w:hAnsi="??_GB2312" w:eastAsia="仿宋_GB2312" w:cs="??_GB2312"/>
          <w:sz w:val="32"/>
          <w:szCs w:val="32"/>
          <w:lang w:val="en-US" w:eastAsia="zh-CN"/>
        </w:rPr>
      </w:pPr>
      <w:r>
        <w:rPr>
          <w:rFonts w:hint="eastAsia" w:ascii="黑体" w:hAnsi="黑体" w:eastAsia="黑体" w:cs="黑体"/>
          <w:sz w:val="32"/>
          <w:szCs w:val="32"/>
        </w:rPr>
        <w:t>台州市汽车检测有限公司涉嫌出具虚假机动车排放检验报告案</w:t>
      </w:r>
    </w:p>
    <w:p>
      <w:pPr>
        <w:keepNext w:val="0"/>
        <w:keepLines w:val="0"/>
        <w:pageBreakBefore w:val="0"/>
        <w:widowControl w:val="0"/>
        <w:kinsoku/>
        <w:wordWrap/>
        <w:overflowPunct/>
        <w:topLinePunct w:val="0"/>
        <w:autoSpaceDE/>
        <w:autoSpaceDN/>
        <w:bidi w:val="0"/>
        <w:adjustRightInd/>
        <w:snapToGrid/>
        <w:spacing w:line="540" w:lineRule="exact"/>
        <w:ind w:firstLine="640"/>
        <w:textAlignment w:val="auto"/>
        <w:outlineLvl w:val="9"/>
        <w:rPr>
          <w:rFonts w:hint="eastAsia" w:eastAsia="仿宋_GB2312"/>
          <w:sz w:val="32"/>
          <w:szCs w:val="32"/>
          <w:lang w:eastAsia="zh-CN"/>
        </w:rPr>
      </w:pPr>
      <w:r>
        <w:rPr>
          <w:rFonts w:hint="eastAsia" w:ascii="楷体_GB2312" w:hAnsi="楷体_GB2312" w:eastAsia="楷体_GB2312" w:cs="楷体_GB2312"/>
          <w:sz w:val="32"/>
          <w:szCs w:val="32"/>
        </w:rPr>
        <w:t>1.基本情况</w:t>
      </w:r>
      <w:r>
        <w:rPr>
          <w:rFonts w:hint="eastAsia" w:ascii="仿宋_GB2312" w:hAnsi="宋体" w:eastAsia="仿宋_GB2312" w:cs="宋体"/>
          <w:sz w:val="32"/>
          <w:szCs w:val="32"/>
        </w:rPr>
        <w:t>。</w:t>
      </w:r>
      <w:r>
        <w:rPr>
          <w:rFonts w:hint="eastAsia" w:eastAsia="仿宋_GB2312"/>
          <w:sz w:val="32"/>
          <w:szCs w:val="32"/>
        </w:rPr>
        <w:t>2018年6月15日，</w:t>
      </w:r>
      <w:r>
        <w:rPr>
          <w:rFonts w:hint="eastAsia" w:eastAsia="仿宋_GB2312"/>
          <w:sz w:val="32"/>
          <w:szCs w:val="32"/>
          <w:lang w:eastAsia="zh-CN"/>
        </w:rPr>
        <w:t>台州市</w:t>
      </w:r>
      <w:r>
        <w:rPr>
          <w:rFonts w:hint="eastAsia" w:eastAsia="仿宋_GB2312"/>
          <w:sz w:val="32"/>
          <w:szCs w:val="32"/>
        </w:rPr>
        <w:t>市环境监察支队会同大气与辐射管理处组成联合执法组对台州市汽车检测有限公司进行了现场突击检查</w:t>
      </w:r>
      <w:r>
        <w:rPr>
          <w:rFonts w:eastAsia="仿宋_GB2312"/>
          <w:sz w:val="32"/>
          <w:szCs w:val="32"/>
        </w:rPr>
        <w:t>。</w:t>
      </w:r>
      <w:r>
        <w:rPr>
          <w:rFonts w:hint="eastAsia" w:eastAsia="仿宋_GB2312"/>
          <w:sz w:val="32"/>
          <w:szCs w:val="32"/>
        </w:rPr>
        <w:t>现场检查时，该公司正在经营，执法人员对部分车辆现场检测过程的视频资料进行了抽查，经查，该公司个别环保操作员检测意识淡薄，工作偷懒，在使用不透光自由加速方法检验过程中未按技术规范对车辆进行检测，抽查发现2018年4月4日车牌号为浙J793Z2货车、4月10日车牌号为浙J8HY29货车、4月17日车牌号为浙JQ356A货车在使用自由加速度不透光烟度法检测时，检测人员在检测过程均未将检测设备插入车辆的尾气排气管进行检测，但该公司却出具了上述3辆车辆的台州市机动车排气污染物检测报告单，检测数据均合格。2018年7月10日，临海市环保局上报</w:t>
      </w:r>
      <w:r>
        <w:rPr>
          <w:rFonts w:hint="eastAsia" w:eastAsia="仿宋_GB2312"/>
          <w:sz w:val="32"/>
          <w:szCs w:val="32"/>
          <w:lang w:eastAsia="zh-CN"/>
        </w:rPr>
        <w:t>台州市环保局</w:t>
      </w:r>
      <w:r>
        <w:rPr>
          <w:rFonts w:hint="eastAsia" w:eastAsia="仿宋_GB2312"/>
          <w:sz w:val="32"/>
          <w:szCs w:val="32"/>
        </w:rPr>
        <w:t>该企业违规检测车辆数量核查情况，根据台账及录像核实，该企业共有430辆车辆存在违规检测</w:t>
      </w:r>
      <w:r>
        <w:rPr>
          <w:rFonts w:hint="eastAsia" w:eastAsia="仿宋_GB2312"/>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40" w:lineRule="exact"/>
        <w:ind w:firstLine="640"/>
        <w:textAlignment w:val="auto"/>
        <w:outlineLvl w:val="9"/>
        <w:rPr>
          <w:rFonts w:hint="eastAsia" w:ascii="仿宋_GB2312" w:eastAsia="仿宋_GB2312"/>
          <w:color w:val="000000"/>
          <w:sz w:val="32"/>
          <w:szCs w:val="32"/>
          <w:lang w:val="en-US" w:eastAsia="zh-CN"/>
        </w:rPr>
      </w:pPr>
      <w:r>
        <w:rPr>
          <w:rFonts w:hint="eastAsia" w:ascii="楷体_GB2312" w:hAnsi="楷体_GB2312" w:eastAsia="楷体_GB2312" w:cs="楷体_GB2312"/>
          <w:kern w:val="0"/>
          <w:sz w:val="32"/>
          <w:szCs w:val="32"/>
        </w:rPr>
        <w:t>2.查</w:t>
      </w:r>
      <w:r>
        <w:rPr>
          <w:rFonts w:hint="eastAsia" w:ascii="楷体_GB2312" w:hAnsi="楷体_GB2312" w:eastAsia="楷体_GB2312" w:cs="楷体_GB2312"/>
          <w:kern w:val="0"/>
          <w:sz w:val="32"/>
          <w:szCs w:val="32"/>
          <w:lang w:eastAsia="zh-CN"/>
        </w:rPr>
        <w:t>处</w:t>
      </w:r>
      <w:r>
        <w:rPr>
          <w:rFonts w:hint="eastAsia" w:ascii="楷体_GB2312" w:hAnsi="楷体_GB2312" w:eastAsia="楷体_GB2312" w:cs="楷体_GB2312"/>
          <w:kern w:val="0"/>
          <w:sz w:val="32"/>
          <w:szCs w:val="32"/>
        </w:rPr>
        <w:t>情况。</w:t>
      </w:r>
      <w:r>
        <w:rPr>
          <w:rFonts w:hint="eastAsia" w:ascii="仿宋_GB2312" w:hAnsi="仿宋" w:eastAsia="仿宋_GB2312" w:cs="仿宋"/>
          <w:color w:val="000000"/>
          <w:sz w:val="30"/>
          <w:szCs w:val="30"/>
        </w:rPr>
        <w:t>台州市汽车检测有限公司未按技术规范检测车辆</w:t>
      </w:r>
      <w:r>
        <w:rPr>
          <w:rFonts w:hint="eastAsia" w:ascii="仿宋_GB2312" w:hAnsi="仿宋" w:eastAsia="仿宋_GB2312" w:cs="仿宋"/>
          <w:color w:val="000000"/>
          <w:sz w:val="30"/>
          <w:szCs w:val="30"/>
          <w:shd w:val="clear" w:color="FFFFFF" w:fill="FFFFFF"/>
        </w:rPr>
        <w:t>但出具了检测数据达标的检测报告的行为已违反了</w:t>
      </w:r>
      <w:r>
        <w:rPr>
          <w:rFonts w:hint="eastAsia" w:ascii="仿宋_GB2312" w:hAnsi="仿宋" w:eastAsia="仿宋_GB2312" w:cs="仿宋"/>
          <w:color w:val="000000"/>
          <w:sz w:val="30"/>
          <w:szCs w:val="30"/>
        </w:rPr>
        <w:t>《中华人民共和国大气污染防治法》第五十四条第一款之规定，根据《中华人民共和国大气污染防治法》第一百一十二条第一款之规定</w:t>
      </w:r>
      <w:r>
        <w:rPr>
          <w:rFonts w:hint="eastAsia" w:ascii="仿宋_GB2312" w:eastAsia="仿宋_GB2312"/>
          <w:color w:val="000000"/>
          <w:sz w:val="32"/>
          <w:szCs w:val="32"/>
          <w:lang w:eastAsia="zh-CN"/>
        </w:rPr>
        <w:t>，台州市环境保护局于2018年7月5日对该公司下达暂停联网通知，并于20</w:t>
      </w:r>
      <w:r>
        <w:rPr>
          <w:rFonts w:hint="eastAsia" w:eastAsia="仿宋_GB2312"/>
          <w:kern w:val="0"/>
          <w:sz w:val="32"/>
          <w:szCs w:val="30"/>
        </w:rPr>
        <w:t>18年</w:t>
      </w:r>
      <w:r>
        <w:rPr>
          <w:rFonts w:hint="eastAsia" w:eastAsia="仿宋_GB2312"/>
          <w:kern w:val="0"/>
          <w:sz w:val="32"/>
          <w:szCs w:val="30"/>
          <w:lang w:val="en-US" w:eastAsia="zh-CN"/>
        </w:rPr>
        <w:t>7</w:t>
      </w:r>
      <w:r>
        <w:rPr>
          <w:rFonts w:hint="eastAsia" w:eastAsia="仿宋_GB2312"/>
          <w:kern w:val="0"/>
          <w:sz w:val="32"/>
          <w:szCs w:val="30"/>
        </w:rPr>
        <w:t>月</w:t>
      </w:r>
      <w:r>
        <w:rPr>
          <w:rFonts w:hint="eastAsia" w:eastAsia="仿宋_GB2312"/>
          <w:kern w:val="0"/>
          <w:sz w:val="32"/>
          <w:szCs w:val="30"/>
          <w:lang w:val="en-US" w:eastAsia="zh-CN"/>
        </w:rPr>
        <w:t>24</w:t>
      </w:r>
      <w:r>
        <w:rPr>
          <w:rFonts w:hint="eastAsia" w:eastAsia="仿宋_GB2312"/>
          <w:kern w:val="0"/>
          <w:sz w:val="32"/>
          <w:szCs w:val="30"/>
        </w:rPr>
        <w:t>日</w:t>
      </w:r>
      <w:r>
        <w:rPr>
          <w:rFonts w:hint="eastAsia" w:eastAsia="仿宋_GB2312"/>
          <w:kern w:val="0"/>
          <w:sz w:val="32"/>
          <w:szCs w:val="30"/>
          <w:lang w:eastAsia="zh-CN"/>
        </w:rPr>
        <w:t>对该公司下达处罚决定书（</w:t>
      </w:r>
      <w:r>
        <w:rPr>
          <w:rFonts w:hint="eastAsia" w:ascii="仿宋_GB2312" w:eastAsia="仿宋_GB2312"/>
          <w:color w:val="000000"/>
          <w:sz w:val="32"/>
          <w:szCs w:val="32"/>
        </w:rPr>
        <w:t>台环罚字〔2018〕</w:t>
      </w:r>
      <w:r>
        <w:rPr>
          <w:rFonts w:hint="eastAsia" w:ascii="仿宋_GB2312" w:eastAsia="仿宋_GB2312"/>
          <w:color w:val="000000"/>
          <w:sz w:val="32"/>
          <w:szCs w:val="32"/>
          <w:lang w:val="en-US" w:eastAsia="zh-CN"/>
        </w:rPr>
        <w:t>9</w:t>
      </w:r>
      <w:r>
        <w:rPr>
          <w:rFonts w:hint="eastAsia" w:ascii="仿宋_GB2312" w:eastAsia="仿宋_GB2312"/>
          <w:color w:val="000000"/>
          <w:sz w:val="32"/>
          <w:szCs w:val="32"/>
        </w:rPr>
        <w:t>号</w:t>
      </w:r>
      <w:r>
        <w:rPr>
          <w:rFonts w:hint="eastAsia" w:eastAsia="仿宋_GB2312"/>
          <w:kern w:val="0"/>
          <w:sz w:val="32"/>
          <w:szCs w:val="30"/>
          <w:lang w:eastAsia="zh-CN"/>
        </w:rPr>
        <w:t>），</w:t>
      </w:r>
      <w:r>
        <w:rPr>
          <w:rFonts w:hint="eastAsia" w:ascii="仿宋_GB2312" w:eastAsia="仿宋_GB2312"/>
          <w:color w:val="000000"/>
          <w:sz w:val="32"/>
          <w:szCs w:val="32"/>
        </w:rPr>
        <w:t>罚款人民币</w:t>
      </w:r>
      <w:r>
        <w:rPr>
          <w:rFonts w:hint="eastAsia" w:ascii="仿宋_GB2312" w:eastAsia="仿宋_GB2312"/>
          <w:color w:val="000000"/>
          <w:sz w:val="32"/>
          <w:szCs w:val="32"/>
          <w:lang w:val="en-US" w:eastAsia="zh-CN"/>
        </w:rPr>
        <w:t>343040</w:t>
      </w:r>
      <w:r>
        <w:rPr>
          <w:rFonts w:hint="eastAsia" w:ascii="仿宋_GB2312" w:eastAsia="仿宋_GB2312"/>
          <w:color w:val="000000"/>
          <w:sz w:val="32"/>
          <w:szCs w:val="32"/>
          <w:lang w:eastAsia="zh-CN"/>
        </w:rPr>
        <w:t>元，</w:t>
      </w:r>
      <w:r>
        <w:rPr>
          <w:rFonts w:hint="eastAsia" w:ascii="仿宋_GB2312" w:eastAsia="仿宋_GB2312"/>
          <w:color w:val="000000"/>
          <w:sz w:val="32"/>
          <w:szCs w:val="32"/>
          <w:lang w:val="en-US" w:eastAsia="zh-CN"/>
        </w:rPr>
        <w:t>没收违法所得</w:t>
      </w:r>
      <w:r>
        <w:rPr>
          <w:rFonts w:hint="eastAsia" w:ascii="仿宋_GB2312" w:eastAsia="仿宋_GB2312"/>
          <w:color w:val="000000"/>
          <w:sz w:val="32"/>
          <w:szCs w:val="32"/>
        </w:rPr>
        <w:t>人民币</w:t>
      </w:r>
      <w:r>
        <w:rPr>
          <w:rFonts w:hint="eastAsia" w:ascii="仿宋_GB2312" w:eastAsia="仿宋_GB2312"/>
          <w:color w:val="000000"/>
          <w:sz w:val="32"/>
          <w:szCs w:val="32"/>
          <w:lang w:val="en-US" w:eastAsia="zh-CN"/>
        </w:rPr>
        <w:t>8600元。</w:t>
      </w:r>
    </w:p>
    <w:p>
      <w:pPr>
        <w:spacing w:line="560" w:lineRule="exact"/>
        <w:ind w:firstLine="640" w:firstLineChars="200"/>
        <w:rPr>
          <w:rFonts w:hint="eastAsia" w:eastAsia="仿宋_GB2312"/>
          <w:sz w:val="32"/>
          <w:szCs w:val="32"/>
        </w:rPr>
      </w:pPr>
      <w:r>
        <w:rPr>
          <w:rFonts w:hint="eastAsia" w:ascii="楷体_GB2312" w:hAnsi="楷体_GB2312" w:eastAsia="楷体_GB2312" w:cs="楷体_GB2312"/>
          <w:kern w:val="0"/>
          <w:sz w:val="32"/>
          <w:szCs w:val="32"/>
          <w:lang w:val="en-US" w:eastAsia="zh-CN"/>
        </w:rPr>
        <w:t>3</w:t>
      </w:r>
      <w:r>
        <w:rPr>
          <w:rFonts w:hint="eastAsia" w:ascii="楷体_GB2312" w:hAnsi="楷体_GB2312" w:eastAsia="楷体_GB2312" w:cs="楷体_GB2312"/>
          <w:kern w:val="0"/>
          <w:sz w:val="32"/>
          <w:szCs w:val="32"/>
        </w:rPr>
        <w:t>.</w:t>
      </w:r>
      <w:r>
        <w:rPr>
          <w:rFonts w:hint="eastAsia" w:ascii="楷体_GB2312" w:hAnsi="楷体_GB2312" w:eastAsia="楷体_GB2312" w:cs="楷体_GB2312"/>
          <w:kern w:val="0"/>
          <w:sz w:val="32"/>
          <w:szCs w:val="32"/>
          <w:lang w:eastAsia="zh-CN"/>
        </w:rPr>
        <w:t>案件启示。</w:t>
      </w:r>
      <w:r>
        <w:rPr>
          <w:rFonts w:hint="eastAsia" w:eastAsia="仿宋_GB2312"/>
          <w:sz w:val="32"/>
          <w:szCs w:val="32"/>
        </w:rPr>
        <w:t>该案不仅是台州市查办的首例机动车检测机构出具虚假机动车排放检验报告案件，也体现了台州市环境保护局通过不断强化管理部门和执法部门的信息互通、联动执法、密切配合，</w:t>
      </w:r>
      <w:r>
        <w:rPr>
          <w:rFonts w:eastAsia="仿宋_GB2312"/>
          <w:sz w:val="32"/>
          <w:szCs w:val="32"/>
        </w:rPr>
        <w:t>综合采取数据分析、视频监控、现场突击检查等</w:t>
      </w:r>
      <w:r>
        <w:rPr>
          <w:rFonts w:hint="eastAsia" w:eastAsia="仿宋_GB2312"/>
          <w:sz w:val="32"/>
          <w:szCs w:val="32"/>
        </w:rPr>
        <w:t>多种</w:t>
      </w:r>
      <w:r>
        <w:rPr>
          <w:rFonts w:eastAsia="仿宋_GB2312"/>
          <w:sz w:val="32"/>
          <w:szCs w:val="32"/>
        </w:rPr>
        <w:t>手段，</w:t>
      </w:r>
      <w:r>
        <w:rPr>
          <w:rFonts w:hint="eastAsia" w:eastAsia="仿宋_GB2312"/>
          <w:sz w:val="32"/>
          <w:szCs w:val="32"/>
        </w:rPr>
        <w:t>提升了日常监管、环境执法的刚性和质效，取得了良好的社会效应和警示作用。主要有以下三点启示：</w:t>
      </w:r>
    </w:p>
    <w:p>
      <w:pPr>
        <w:spacing w:line="560" w:lineRule="exact"/>
        <w:ind w:firstLine="643" w:firstLineChars="200"/>
        <w:rPr>
          <w:rFonts w:hint="eastAsia" w:eastAsia="仿宋_GB2312"/>
          <w:sz w:val="32"/>
          <w:szCs w:val="32"/>
        </w:rPr>
      </w:pPr>
      <w:r>
        <w:rPr>
          <w:rFonts w:hint="eastAsia" w:eastAsia="仿宋_GB2312"/>
          <w:b/>
          <w:bCs/>
          <w:sz w:val="32"/>
          <w:szCs w:val="32"/>
        </w:rPr>
        <w:t>1、环境管理部门和环境监察部门信息互通。</w:t>
      </w:r>
      <w:r>
        <w:rPr>
          <w:rFonts w:hint="eastAsia" w:eastAsia="仿宋_GB2312"/>
          <w:sz w:val="32"/>
          <w:szCs w:val="32"/>
        </w:rPr>
        <w:t>该案线索是由台州市环保局大气与辐射管理处（环境管理部门）在日常摸排过程中发现的，并及时将相关信息抄送给台州市环境监察支队（环境监察部门），通过环境管理部门和环境监察部门的信息互通、信息共享，可以为打击环境违法行为不断提供可靠的线索。</w:t>
      </w:r>
    </w:p>
    <w:p>
      <w:pPr>
        <w:spacing w:line="560" w:lineRule="exact"/>
        <w:ind w:firstLine="643" w:firstLineChars="200"/>
        <w:rPr>
          <w:rFonts w:hint="eastAsia" w:eastAsia="仿宋_GB2312"/>
          <w:sz w:val="32"/>
          <w:szCs w:val="32"/>
        </w:rPr>
      </w:pPr>
      <w:r>
        <w:rPr>
          <w:rFonts w:hint="eastAsia" w:eastAsia="仿宋_GB2312"/>
          <w:b/>
          <w:bCs/>
          <w:sz w:val="32"/>
          <w:szCs w:val="32"/>
        </w:rPr>
        <w:t>2、上下级环保部门联动执法。</w:t>
      </w:r>
      <w:r>
        <w:rPr>
          <w:rFonts w:hint="eastAsia" w:eastAsia="仿宋_GB2312"/>
          <w:sz w:val="32"/>
          <w:szCs w:val="32"/>
        </w:rPr>
        <w:t>该案的办理不仅是环境管理部门和环境监察部门的联动，也是市、县两级环保部门的联动，通过部门联动、市县联动，为案件的快速办理提供了基础。</w:t>
      </w:r>
    </w:p>
    <w:p>
      <w:pPr>
        <w:keepNext w:val="0"/>
        <w:keepLines w:val="0"/>
        <w:pageBreakBefore w:val="0"/>
        <w:widowControl w:val="0"/>
        <w:kinsoku/>
        <w:wordWrap/>
        <w:overflowPunct/>
        <w:topLinePunct w:val="0"/>
        <w:autoSpaceDE/>
        <w:autoSpaceDN/>
        <w:bidi w:val="0"/>
        <w:adjustRightInd/>
        <w:snapToGrid/>
        <w:spacing w:line="540" w:lineRule="exact"/>
        <w:ind w:firstLine="640"/>
        <w:textAlignment w:val="auto"/>
        <w:outlineLvl w:val="9"/>
        <w:rPr>
          <w:rFonts w:hint="eastAsia" w:ascii="仿宋_GB2312" w:eastAsia="仿宋_GB2312"/>
          <w:color w:val="000000"/>
          <w:sz w:val="32"/>
          <w:szCs w:val="32"/>
          <w:lang w:val="en-US" w:eastAsia="zh-CN"/>
        </w:rPr>
      </w:pPr>
      <w:r>
        <w:rPr>
          <w:rFonts w:hint="eastAsia" w:eastAsia="仿宋_GB2312"/>
          <w:b/>
          <w:bCs/>
          <w:sz w:val="32"/>
          <w:szCs w:val="32"/>
        </w:rPr>
        <w:t>3、多部门分工合作。</w:t>
      </w:r>
      <w:r>
        <w:rPr>
          <w:rFonts w:hint="eastAsia" w:eastAsia="仿宋_GB2312"/>
          <w:sz w:val="32"/>
          <w:szCs w:val="32"/>
        </w:rPr>
        <w:t>现场检查过程中，各部门分工合作，由台州市环境监察支队对现场进行勘察、收集材料并制作现场勘察笔录及相关涉案人员的询问笔录，由台州市环保局大气与辐射管理处会同临海市环保局对台账和视频记录进行比对核实进而确定</w:t>
      </w:r>
      <w:r>
        <w:rPr>
          <w:rFonts w:hint="eastAsia" w:eastAsia="仿宋_GB2312"/>
          <w:kern w:val="0"/>
          <w:sz w:val="32"/>
          <w:szCs w:val="30"/>
        </w:rPr>
        <w:t>违规检测车辆的数量</w:t>
      </w:r>
      <w:r>
        <w:rPr>
          <w:rFonts w:hint="eastAsia" w:eastAsia="仿宋_GB2312"/>
          <w:sz w:val="32"/>
          <w:szCs w:val="32"/>
        </w:rPr>
        <w:t>，为案件快速固定了相关证据材料。</w:t>
      </w:r>
    </w:p>
    <w:p>
      <w:pPr>
        <w:pageBreakBefore w:val="0"/>
        <w:widowControl w:val="0"/>
        <w:kinsoku/>
        <w:wordWrap/>
        <w:overflowPunct/>
        <w:topLinePunct w:val="0"/>
        <w:autoSpaceDE/>
        <w:autoSpaceDN/>
        <w:bidi w:val="0"/>
        <w:adjustRightInd/>
        <w:snapToGrid/>
        <w:spacing w:line="560" w:lineRule="exact"/>
        <w:ind w:left="0" w:leftChars="0" w:right="0" w:rightChars="0" w:firstLine="643"/>
        <w:jc w:val="left"/>
        <w:textAlignment w:val="auto"/>
        <w:rPr>
          <w:rFonts w:hint="eastAsia" w:ascii="仿宋_GB2312"/>
          <w:color w:val="000000"/>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Cambria">
    <w:panose1 w:val="02040503050406030204"/>
    <w:charset w:val="00"/>
    <w:family w:val="roman"/>
    <w:pitch w:val="default"/>
    <w:sig w:usb0="E00002FF" w:usb1="400004FF" w:usb2="00000000" w:usb3="00000000" w:csb0="2000019F" w:csb1="00000000"/>
  </w:font>
  <w:font w:name="方正小标宋简体">
    <w:altName w:val="微软雅黑"/>
    <w:panose1 w:val="00000000000000000000"/>
    <w:charset w:val="86"/>
    <w:family w:val="auto"/>
    <w:pitch w:val="default"/>
    <w:sig w:usb0="00000000" w:usb1="00000000" w:usb2="00000000" w:usb3="00000000" w:csb0="00040000" w:csb1="00000000"/>
  </w:font>
  <w:font w:name="华文中宋">
    <w:altName w:val="宋体"/>
    <w:panose1 w:val="02010600040101010101"/>
    <w:charset w:val="86"/>
    <w:family w:val="auto"/>
    <w:pitch w:val="default"/>
    <w:sig w:usb0="00000000" w:usb1="00000000" w:usb2="00000000" w:usb3="00000000" w:csb0="0004009F" w:csb1="DFD70000"/>
  </w:font>
  <w:font w:name="仿宋">
    <w:panose1 w:val="02010609060101010101"/>
    <w:charset w:val="86"/>
    <w:family w:val="auto"/>
    <w:pitch w:val="default"/>
    <w:sig w:usb0="800002BF" w:usb1="38CF7CFA" w:usb2="00000016" w:usb3="00000000" w:csb0="00040001" w:csb1="00000000"/>
  </w:font>
  <w:font w:name="??_GB2312">
    <w:altName w:val="Times New Roman"/>
    <w:panose1 w:val="00000000000000000000"/>
    <w:charset w:val="00"/>
    <w:family w:val="auto"/>
    <w:pitch w:val="default"/>
    <w:sig w:usb0="00000000" w:usb1="00000000" w:usb2="00000000" w:usb3="00000000" w:csb0="00000001" w:csb1="00000000"/>
  </w:font>
  <w:font w:name="微软雅黑">
    <w:panose1 w:val="020B0503020204020204"/>
    <w:charset w:val="86"/>
    <w:family w:val="auto"/>
    <w:pitch w:val="default"/>
    <w:sig w:usb0="A0000287" w:usb1="28CF3C52"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CC7257C"/>
    <w:rsid w:val="0B0665F8"/>
    <w:rsid w:val="0E132E41"/>
    <w:rsid w:val="12143632"/>
    <w:rsid w:val="14D21AA2"/>
    <w:rsid w:val="32C60C4A"/>
    <w:rsid w:val="330F6B59"/>
    <w:rsid w:val="3E154527"/>
    <w:rsid w:val="49135E12"/>
    <w:rsid w:val="4C355D28"/>
    <w:rsid w:val="5CC7257C"/>
    <w:rsid w:val="6010023B"/>
    <w:rsid w:val="625A798A"/>
    <w:rsid w:val="6B0473AF"/>
    <w:rsid w:val="78BE6546"/>
    <w:rsid w:val="7BF903B2"/>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ind w:firstLine="200" w:firstLineChars="200"/>
      <w:jc w:val="both"/>
    </w:pPr>
    <w:rPr>
      <w:rFonts w:ascii="Calibri" w:hAnsi="Calibri" w:eastAsia="仿宋_GB2312" w:cs="Times New Roman"/>
      <w:kern w:val="2"/>
      <w:sz w:val="32"/>
      <w:szCs w:val="24"/>
      <w:lang w:val="en-US" w:eastAsia="zh-CN" w:bidi="ar-SA"/>
    </w:rPr>
  </w:style>
  <w:style w:type="paragraph" w:styleId="2">
    <w:name w:val="heading 1"/>
    <w:basedOn w:val="1"/>
    <w:next w:val="1"/>
    <w:qFormat/>
    <w:uiPriority w:val="0"/>
    <w:pPr>
      <w:keepNext/>
      <w:keepLines/>
      <w:spacing w:before="120" w:after="120" w:line="578" w:lineRule="atLeast"/>
      <w:outlineLvl w:val="0"/>
    </w:pPr>
    <w:rPr>
      <w:rFonts w:eastAsia="黑体" w:asciiTheme="minorHAnsi" w:hAnsiTheme="minorHAnsi" w:cstheme="minorBidi"/>
      <w:b/>
      <w:bCs/>
      <w:kern w:val="44"/>
      <w:szCs w:val="44"/>
    </w:rPr>
  </w:style>
  <w:style w:type="paragraph" w:styleId="3">
    <w:name w:val="heading 2"/>
    <w:basedOn w:val="1"/>
    <w:next w:val="1"/>
    <w:link w:val="11"/>
    <w:unhideWhenUsed/>
    <w:qFormat/>
    <w:uiPriority w:val="0"/>
    <w:pPr>
      <w:keepNext/>
      <w:keepLines/>
      <w:spacing w:before="156" w:beforeLines="50" w:after="156" w:afterLines="50" w:line="560" w:lineRule="exact"/>
      <w:ind w:firstLine="360" w:firstLineChars="112"/>
      <w:outlineLvl w:val="1"/>
    </w:pPr>
    <w:rPr>
      <w:rFonts w:ascii="楷体_GB2312" w:eastAsia="楷体_GB2312" w:hAnsiTheme="minorHAnsi" w:cstheme="minorBidi"/>
      <w:b/>
      <w:bCs/>
      <w:kern w:val="0"/>
      <w:szCs w:val="22"/>
    </w:rPr>
  </w:style>
  <w:style w:type="paragraph" w:styleId="4">
    <w:name w:val="heading 3"/>
    <w:basedOn w:val="1"/>
    <w:next w:val="1"/>
    <w:link w:val="12"/>
    <w:qFormat/>
    <w:uiPriority w:val="0"/>
    <w:pPr>
      <w:spacing w:beforeAutospacing="1" w:afterAutospacing="1"/>
      <w:outlineLvl w:val="2"/>
    </w:pPr>
    <w:rPr>
      <w:rFonts w:ascii="宋体" w:hAnsi="宋体"/>
      <w:b/>
      <w:kern w:val="0"/>
      <w:szCs w:val="27"/>
    </w:rPr>
  </w:style>
  <w:style w:type="character" w:default="1" w:styleId="9">
    <w:name w:val="Default Paragraph Font"/>
    <w:semiHidden/>
    <w:qFormat/>
    <w:uiPriority w:val="0"/>
  </w:style>
  <w:style w:type="table" w:default="1" w:styleId="10">
    <w:name w:val="Normal Table"/>
    <w:semiHidden/>
    <w:qFormat/>
    <w:uiPriority w:val="0"/>
    <w:tblPr>
      <w:tblLayout w:type="fixed"/>
      <w:tblCellMar>
        <w:top w:w="0" w:type="dxa"/>
        <w:left w:w="108" w:type="dxa"/>
        <w:bottom w:w="0" w:type="dxa"/>
        <w:right w:w="108" w:type="dxa"/>
      </w:tblCellMar>
    </w:tblPr>
  </w:style>
  <w:style w:type="paragraph" w:styleId="5">
    <w:name w:val="footer"/>
    <w:basedOn w:val="1"/>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rFonts w:ascii="Times New Roman" w:hAnsi="Times New Roman"/>
      <w:sz w:val="18"/>
    </w:rPr>
  </w:style>
  <w:style w:type="paragraph" w:styleId="7">
    <w:name w:val="Normal (Web)"/>
    <w:basedOn w:val="1"/>
    <w:unhideWhenUsed/>
    <w:qFormat/>
    <w:uiPriority w:val="99"/>
    <w:pPr>
      <w:spacing w:before="100" w:beforeLines="0" w:beforeAutospacing="1" w:after="100" w:afterLines="0" w:afterAutospacing="1" w:line="240" w:lineRule="auto"/>
      <w:ind w:left="0" w:leftChars="0" w:right="0" w:rightChars="0" w:firstLine="0" w:firstLineChars="0"/>
    </w:pPr>
    <w:rPr>
      <w:rFonts w:ascii="宋体" w:hAnsi="宋体" w:eastAsia="宋体" w:cs="宋体"/>
      <w:kern w:val="0"/>
      <w:sz w:val="24"/>
      <w:szCs w:val="24"/>
    </w:rPr>
  </w:style>
  <w:style w:type="paragraph" w:styleId="8">
    <w:name w:val="Title"/>
    <w:basedOn w:val="1"/>
    <w:next w:val="1"/>
    <w:qFormat/>
    <w:uiPriority w:val="0"/>
    <w:pPr>
      <w:spacing w:before="240" w:after="120" w:line="560" w:lineRule="exact"/>
      <w:ind w:firstLine="883"/>
      <w:jc w:val="center"/>
      <w:outlineLvl w:val="0"/>
    </w:pPr>
    <w:rPr>
      <w:rFonts w:ascii="Cambria" w:hAnsi="Cambria" w:eastAsia="方正小标宋简体" w:cstheme="minorBidi"/>
      <w:b/>
      <w:bCs/>
      <w:sz w:val="44"/>
      <w:szCs w:val="32"/>
    </w:rPr>
  </w:style>
  <w:style w:type="character" w:customStyle="1" w:styleId="11">
    <w:name w:val="标题 2 Char"/>
    <w:link w:val="3"/>
    <w:qFormat/>
    <w:uiPriority w:val="0"/>
    <w:rPr>
      <w:rFonts w:ascii="楷体_GB2312" w:eastAsia="楷体_GB2312" w:hAnsiTheme="minorHAnsi" w:cstheme="minorBidi"/>
      <w:b/>
      <w:bCs/>
      <w:kern w:val="0"/>
      <w:szCs w:val="22"/>
    </w:rPr>
  </w:style>
  <w:style w:type="character" w:customStyle="1" w:styleId="12">
    <w:name w:val="标题 3 Char"/>
    <w:basedOn w:val="9"/>
    <w:link w:val="4"/>
    <w:uiPriority w:val="0"/>
    <w:rPr>
      <w:rFonts w:ascii="宋体" w:hAnsi="宋体"/>
      <w:b/>
      <w:kern w:val="0"/>
      <w:szCs w:val="27"/>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2017-10-19T06:11:00Z</dcterms:created>
  <dc:creator>Administrator</dc:creator>
  <cp:lastModifiedBy>王赛</cp:lastModifiedBy>
  <dcterms:modified xsi:type="dcterms:W3CDTF">2018-12-17T16:40:16Z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2052-11.1.0.8205</vt:lpwstr>
  </property>
</Properties>
</file>