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金桥简标宋" w:eastAsia="金桥简标宋"/>
          <w:bCs/>
          <w:sz w:val="44"/>
          <w:szCs w:val="44"/>
          <w:lang w:val="en-US" w:eastAsia="zh-CN"/>
        </w:rPr>
      </w:pPr>
      <w:r>
        <w:rPr>
          <w:rFonts w:hint="eastAsia" w:ascii="金桥简标宋" w:eastAsia="金桥简标宋"/>
          <w:bCs/>
          <w:sz w:val="44"/>
          <w:szCs w:val="44"/>
          <w:lang w:val="en-US" w:eastAsia="zh-CN"/>
        </w:rPr>
        <w:t>2018年</w:t>
      </w:r>
      <w:r>
        <w:rPr>
          <w:rFonts w:hint="eastAsia" w:ascii="金桥简标宋" w:eastAsia="金桥简标宋"/>
          <w:bCs/>
          <w:sz w:val="44"/>
          <w:szCs w:val="44"/>
          <w:lang w:val="en-US" w:eastAsia="zh-CN"/>
        </w:rPr>
        <w:t>肥东县环境监察大队</w:t>
      </w:r>
    </w:p>
    <w:p>
      <w:pPr>
        <w:spacing w:line="560" w:lineRule="exact"/>
        <w:jc w:val="center"/>
        <w:rPr>
          <w:rFonts w:hint="eastAsia" w:ascii="金桥简标宋" w:eastAsia="金桥简标宋"/>
          <w:bCs/>
          <w:sz w:val="44"/>
          <w:szCs w:val="44"/>
          <w:lang w:val="en-US" w:eastAsia="zh-CN"/>
        </w:rPr>
      </w:pPr>
      <w:r>
        <w:rPr>
          <w:rFonts w:hint="eastAsia" w:ascii="金桥简标宋" w:eastAsia="金桥简标宋"/>
          <w:bCs/>
          <w:sz w:val="44"/>
          <w:szCs w:val="44"/>
          <w:lang w:val="en-US" w:eastAsia="zh-CN"/>
        </w:rPr>
        <w:t>执法大练兵工作汇报</w:t>
      </w:r>
    </w:p>
    <w:p>
      <w:pPr>
        <w:spacing w:line="560" w:lineRule="exact"/>
        <w:jc w:val="center"/>
        <w:rPr>
          <w:rFonts w:ascii="仿宋_GB2312" w:eastAsia="仿宋_GB2312"/>
          <w:bCs/>
          <w:sz w:val="32"/>
          <w:szCs w:val="32"/>
        </w:rPr>
      </w:pPr>
    </w:p>
    <w:p>
      <w:pPr>
        <w:spacing w:line="560" w:lineRule="exact"/>
        <w:ind w:firstLine="640" w:firstLineChars="200"/>
        <w:jc w:val="left"/>
        <w:rPr>
          <w:rFonts w:ascii="仿宋_GB2312" w:eastAsia="仿宋_GB2312"/>
          <w:bCs/>
          <w:color w:val="auto"/>
          <w:sz w:val="32"/>
          <w:szCs w:val="32"/>
        </w:rPr>
      </w:pPr>
      <w:r>
        <w:rPr>
          <w:rFonts w:hint="eastAsia" w:ascii="仿宋_GB2312" w:eastAsia="仿宋_GB2312"/>
          <w:bCs/>
          <w:sz w:val="32"/>
          <w:szCs w:val="32"/>
        </w:rPr>
        <w:t>今年以来，在</w:t>
      </w:r>
      <w:r>
        <w:rPr>
          <w:rFonts w:hint="eastAsia" w:ascii="仿宋_GB2312" w:eastAsia="仿宋_GB2312"/>
          <w:bCs/>
          <w:sz w:val="32"/>
          <w:szCs w:val="32"/>
          <w:lang w:val="en-US" w:eastAsia="zh-CN"/>
        </w:rPr>
        <w:t>省、市环保部门</w:t>
      </w:r>
      <w:r>
        <w:rPr>
          <w:rFonts w:hint="eastAsia" w:ascii="仿宋_GB2312" w:eastAsia="仿宋_GB2312"/>
          <w:bCs/>
          <w:sz w:val="32"/>
          <w:szCs w:val="32"/>
        </w:rPr>
        <w:t>的坚强领导下，我局以习近平新时代中国特色社会主义思想为指导，全面贯彻党的十九大精神，聚焦问题，补齐短板，突出重点，强化措施，全面推进全面从严治党，全力打赢污染防治攻坚战，全力解决突出环境问题，全县改善生态环境质量持续改善，生态文明建设</w:t>
      </w:r>
      <w:r>
        <w:rPr>
          <w:rFonts w:hint="eastAsia" w:ascii="仿宋_GB2312" w:eastAsia="仿宋_GB2312"/>
          <w:bCs/>
          <w:color w:val="auto"/>
          <w:sz w:val="32"/>
          <w:szCs w:val="32"/>
        </w:rPr>
        <w:t>水平不断提升。我县获2017年度市大气污染防治工作考核优秀单位称号，获2017年度市水污染防治行动计划实施情况考核优秀等次。</w:t>
      </w:r>
    </w:p>
    <w:p>
      <w:pPr>
        <w:spacing w:line="560" w:lineRule="exact"/>
        <w:jc w:val="left"/>
        <w:rPr>
          <w:rFonts w:ascii="黑体" w:hAnsi="黑体" w:eastAsia="黑体"/>
          <w:b/>
          <w:bCs/>
          <w:sz w:val="32"/>
          <w:szCs w:val="32"/>
        </w:rPr>
      </w:pPr>
      <w:r>
        <w:rPr>
          <w:rFonts w:hint="eastAsia" w:ascii="仿宋_GB2312" w:eastAsia="仿宋_GB2312"/>
          <w:bCs/>
          <w:sz w:val="32"/>
          <w:szCs w:val="32"/>
        </w:rPr>
        <w:t xml:space="preserve">   </w:t>
      </w:r>
      <w:r>
        <w:rPr>
          <w:rFonts w:hint="eastAsia" w:ascii="仿宋_GB2312" w:eastAsia="仿宋_GB2312"/>
          <w:b/>
          <w:bCs/>
          <w:sz w:val="32"/>
          <w:szCs w:val="32"/>
        </w:rPr>
        <w:t xml:space="preserve"> </w:t>
      </w:r>
      <w:r>
        <w:rPr>
          <w:rFonts w:hint="eastAsia" w:ascii="黑体" w:hAnsi="黑体" w:eastAsia="黑体"/>
          <w:b/>
          <w:bCs/>
          <w:sz w:val="32"/>
          <w:szCs w:val="32"/>
        </w:rPr>
        <w:t>一、主要环境质量指标完成情况</w:t>
      </w:r>
    </w:p>
    <w:p>
      <w:pPr>
        <w:ind w:firstLine="643" w:firstLineChars="200"/>
        <w:rPr>
          <w:rFonts w:ascii="仿宋_GB2312" w:hAnsi="Calibri" w:eastAsia="仿宋_GB2312" w:cs="黑体"/>
          <w:sz w:val="32"/>
          <w:szCs w:val="32"/>
        </w:rPr>
      </w:pPr>
      <w:r>
        <w:rPr>
          <w:rFonts w:hint="eastAsia" w:ascii="宋体" w:hAnsi="宋体" w:eastAsia="宋体" w:cs="黑体"/>
          <w:b/>
          <w:sz w:val="32"/>
          <w:szCs w:val="32"/>
        </w:rPr>
        <w:t>（一）大气质量方面。</w:t>
      </w:r>
      <w:r>
        <w:rPr>
          <w:rFonts w:hint="eastAsia" w:ascii="仿宋_GB2312" w:hAnsi="Calibri" w:eastAsia="仿宋_GB2312" w:cs="黑体"/>
          <w:sz w:val="32"/>
          <w:szCs w:val="32"/>
        </w:rPr>
        <w:t>2018年1-10月份，我县PM10 、PM2.5日均值分别为72.5微克/立方米、40微克/立方米，低于市控目标（77.5微克/立方米、47.5微克/立方米），较去年同期相比，PM10 日均值与去年持平，PM2.5日均值下降 4微克/立方米。</w:t>
      </w:r>
    </w:p>
    <w:p>
      <w:pPr>
        <w:ind w:firstLine="643" w:firstLineChars="200"/>
        <w:rPr>
          <w:rFonts w:ascii="仿宋_GB2312" w:hAnsi="Calibri" w:eastAsia="仿宋_GB2312" w:cs="黑体"/>
          <w:sz w:val="32"/>
          <w:szCs w:val="32"/>
        </w:rPr>
      </w:pPr>
      <w:r>
        <w:rPr>
          <w:rFonts w:hint="eastAsia" w:ascii="宋体" w:hAnsi="宋体" w:eastAsia="宋体" w:cs="黑体"/>
          <w:b/>
          <w:sz w:val="32"/>
          <w:szCs w:val="32"/>
        </w:rPr>
        <w:t>（二）水环境质量方面。</w:t>
      </w:r>
      <w:r>
        <w:rPr>
          <w:rFonts w:hint="eastAsia" w:ascii="仿宋" w:hAnsi="仿宋" w:eastAsia="仿宋" w:cs="仿宋"/>
          <w:bCs/>
          <w:sz w:val="32"/>
          <w:szCs w:val="32"/>
        </w:rPr>
        <w:t>2018年1-10月份，我县6个市级考核断面中，长乐河、店埠河、马桥河、长临河4个断</w:t>
      </w:r>
      <w:r>
        <w:rPr>
          <w:rFonts w:hint="eastAsia" w:ascii="仿宋" w:hAnsi="仿宋" w:eastAsia="仿宋" w:cs="仿宋"/>
          <w:bCs/>
          <w:color w:val="auto"/>
          <w:sz w:val="32"/>
          <w:szCs w:val="32"/>
        </w:rPr>
        <w:t>面SPI均值分别为</w:t>
      </w:r>
      <w:r>
        <w:rPr>
          <w:rFonts w:hint="eastAsia" w:ascii="仿宋" w:hAnsi="仿宋" w:eastAsia="仿宋" w:cs="仿宋"/>
          <w:bCs/>
          <w:color w:val="auto"/>
          <w:sz w:val="32"/>
          <w:szCs w:val="32"/>
          <w:lang w:val="en-US" w:eastAsia="zh-CN"/>
        </w:rPr>
        <w:t>78</w:t>
      </w:r>
      <w:r>
        <w:rPr>
          <w:rFonts w:hint="eastAsia" w:ascii="仿宋" w:hAnsi="仿宋" w:eastAsia="仿宋" w:cs="仿宋"/>
          <w:bCs/>
          <w:color w:val="auto"/>
          <w:sz w:val="32"/>
          <w:szCs w:val="32"/>
        </w:rPr>
        <w:t>、</w:t>
      </w:r>
      <w:r>
        <w:rPr>
          <w:rFonts w:hint="eastAsia" w:ascii="仿宋" w:hAnsi="仿宋" w:eastAsia="仿宋" w:cs="仿宋"/>
          <w:bCs/>
          <w:color w:val="auto"/>
          <w:sz w:val="32"/>
          <w:szCs w:val="32"/>
          <w:lang w:val="en-US" w:eastAsia="zh-CN"/>
        </w:rPr>
        <w:t>101</w:t>
      </w:r>
      <w:r>
        <w:rPr>
          <w:rFonts w:hint="eastAsia" w:ascii="仿宋" w:hAnsi="仿宋" w:eastAsia="仿宋" w:cs="仿宋"/>
          <w:bCs/>
          <w:color w:val="auto"/>
          <w:sz w:val="32"/>
          <w:szCs w:val="32"/>
        </w:rPr>
        <w:t>、</w:t>
      </w:r>
      <w:r>
        <w:rPr>
          <w:rFonts w:hint="eastAsia" w:ascii="仿宋" w:hAnsi="仿宋" w:eastAsia="仿宋" w:cs="仿宋"/>
          <w:bCs/>
          <w:color w:val="auto"/>
          <w:sz w:val="32"/>
          <w:szCs w:val="32"/>
          <w:lang w:val="en-US" w:eastAsia="zh-CN"/>
        </w:rPr>
        <w:t>82</w:t>
      </w:r>
      <w:r>
        <w:rPr>
          <w:rFonts w:hint="eastAsia" w:ascii="仿宋" w:hAnsi="仿宋" w:eastAsia="仿宋" w:cs="仿宋"/>
          <w:bCs/>
          <w:color w:val="auto"/>
          <w:sz w:val="32"/>
          <w:szCs w:val="32"/>
        </w:rPr>
        <w:t>、</w:t>
      </w:r>
      <w:r>
        <w:rPr>
          <w:rFonts w:hint="eastAsia" w:ascii="仿宋" w:hAnsi="仿宋" w:eastAsia="仿宋" w:cs="仿宋"/>
          <w:bCs/>
          <w:color w:val="auto"/>
          <w:sz w:val="32"/>
          <w:szCs w:val="32"/>
          <w:lang w:val="en-US" w:eastAsia="zh-CN"/>
        </w:rPr>
        <w:t>55</w:t>
      </w:r>
      <w:r>
        <w:rPr>
          <w:rFonts w:hint="eastAsia" w:ascii="仿宋" w:hAnsi="仿宋" w:eastAsia="仿宋" w:cs="仿宋"/>
          <w:bCs/>
          <w:color w:val="auto"/>
          <w:sz w:val="32"/>
          <w:szCs w:val="32"/>
        </w:rPr>
        <w:t>，低于市控目标（153、177、106、80）；南淝河、二十埠河2个断面SPI均值分别为14</w:t>
      </w:r>
      <w:r>
        <w:rPr>
          <w:rFonts w:hint="eastAsia" w:ascii="仿宋" w:hAnsi="仿宋" w:eastAsia="仿宋" w:cs="仿宋"/>
          <w:bCs/>
          <w:color w:val="auto"/>
          <w:sz w:val="32"/>
          <w:szCs w:val="32"/>
          <w:lang w:val="en-US" w:eastAsia="zh-CN"/>
        </w:rPr>
        <w:t>1</w:t>
      </w:r>
      <w:r>
        <w:rPr>
          <w:rFonts w:hint="eastAsia" w:ascii="仿宋" w:hAnsi="仿宋" w:eastAsia="仿宋" w:cs="仿宋"/>
          <w:bCs/>
          <w:color w:val="auto"/>
          <w:sz w:val="32"/>
          <w:szCs w:val="32"/>
        </w:rPr>
        <w:t>、2</w:t>
      </w:r>
      <w:r>
        <w:rPr>
          <w:rFonts w:hint="eastAsia" w:ascii="仿宋" w:hAnsi="仿宋" w:eastAsia="仿宋" w:cs="仿宋"/>
          <w:bCs/>
          <w:color w:val="auto"/>
          <w:sz w:val="32"/>
          <w:szCs w:val="32"/>
          <w:lang w:val="en-US" w:eastAsia="zh-CN"/>
        </w:rPr>
        <w:t>18</w:t>
      </w:r>
      <w:r>
        <w:rPr>
          <w:rFonts w:hint="eastAsia" w:ascii="仿宋" w:hAnsi="仿宋" w:eastAsia="仿宋" w:cs="仿宋"/>
          <w:bCs/>
          <w:color w:val="auto"/>
          <w:sz w:val="32"/>
          <w:szCs w:val="32"/>
        </w:rPr>
        <w:t>，高于市控目标（124、164），主要因上游市区水质差导致未能达到考核值。</w:t>
      </w:r>
    </w:p>
    <w:p>
      <w:pPr>
        <w:ind w:firstLine="645"/>
        <w:rPr>
          <w:rFonts w:hint="eastAsia" w:ascii="仿宋_GB2312" w:eastAsia="仿宋_GB2312"/>
          <w:bCs/>
          <w:color w:val="auto"/>
          <w:sz w:val="32"/>
          <w:szCs w:val="32"/>
        </w:rPr>
      </w:pPr>
      <w:r>
        <w:rPr>
          <w:rFonts w:hint="eastAsia" w:ascii="宋体" w:hAnsi="宋体" w:eastAsia="宋体" w:cs="黑体"/>
          <w:b/>
          <w:sz w:val="32"/>
          <w:szCs w:val="32"/>
        </w:rPr>
        <w:t>（三）土壤环境质量方面。</w:t>
      </w:r>
      <w:r>
        <w:rPr>
          <w:rFonts w:hint="eastAsia" w:ascii="仿宋" w:hAnsi="仿宋" w:eastAsia="仿宋" w:cs="仿宋"/>
          <w:bCs/>
          <w:sz w:val="32"/>
          <w:szCs w:val="32"/>
        </w:rPr>
        <w:t>认真落实《肥东县土壤污染</w:t>
      </w:r>
      <w:r>
        <w:rPr>
          <w:rFonts w:hint="eastAsia" w:ascii="仿宋" w:hAnsi="仿宋" w:eastAsia="仿宋" w:cs="仿宋"/>
          <w:bCs/>
          <w:color w:val="auto"/>
          <w:sz w:val="32"/>
          <w:szCs w:val="32"/>
        </w:rPr>
        <w:t>防治工作实施方案》，</w:t>
      </w:r>
      <w:r>
        <w:rPr>
          <w:rFonts w:hint="eastAsia" w:ascii="楷体" w:hAnsi="楷体" w:eastAsia="楷体" w:cs="楷体"/>
          <w:b w:val="0"/>
          <w:bCs w:val="0"/>
          <w:color w:val="auto"/>
          <w:sz w:val="32"/>
          <w:szCs w:val="32"/>
          <w:lang w:val="en-US" w:eastAsia="zh-CN"/>
        </w:rPr>
        <w:t>完成合肥市土壤污染重点监管企业土壤环境监测和土壤污染隐患排查</w:t>
      </w:r>
      <w:r>
        <w:rPr>
          <w:rFonts w:hint="eastAsia" w:ascii="仿宋" w:hAnsi="仿宋" w:eastAsia="仿宋" w:cs="仿宋"/>
          <w:bCs/>
          <w:color w:val="auto"/>
          <w:sz w:val="32"/>
          <w:szCs w:val="32"/>
        </w:rPr>
        <w:t>。2018年1-10月份</w:t>
      </w:r>
      <w:r>
        <w:rPr>
          <w:rFonts w:hint="eastAsia" w:ascii="仿宋_GB2312" w:eastAsia="仿宋_GB2312"/>
          <w:bCs/>
          <w:color w:val="auto"/>
          <w:sz w:val="32"/>
          <w:szCs w:val="32"/>
        </w:rPr>
        <w:t>共完成201家危险废物网上申报，安全转移危险废物1259.88吨。</w:t>
      </w:r>
    </w:p>
    <w:p>
      <w:pPr>
        <w:ind w:firstLine="645"/>
        <w:rPr>
          <w:rFonts w:ascii="黑体" w:hAnsi="黑体" w:eastAsia="黑体"/>
          <w:b/>
          <w:bCs/>
          <w:sz w:val="32"/>
          <w:szCs w:val="32"/>
        </w:rPr>
      </w:pPr>
      <w:r>
        <w:rPr>
          <w:rFonts w:hint="eastAsia" w:ascii="黑体" w:hAnsi="黑体" w:eastAsia="黑体"/>
          <w:b/>
          <w:bCs/>
          <w:sz w:val="32"/>
          <w:szCs w:val="32"/>
        </w:rPr>
        <w:t>二、主要做法</w:t>
      </w:r>
    </w:p>
    <w:p>
      <w:pPr>
        <w:spacing w:line="560" w:lineRule="exact"/>
        <w:ind w:firstLine="643" w:firstLineChars="200"/>
        <w:jc w:val="left"/>
        <w:rPr>
          <w:rFonts w:ascii="仿宋" w:hAnsi="仿宋" w:eastAsia="仿宋" w:cs="仿宋"/>
          <w:bCs/>
          <w:sz w:val="32"/>
          <w:szCs w:val="32"/>
        </w:rPr>
      </w:pPr>
      <w:r>
        <w:rPr>
          <w:rFonts w:hint="eastAsia" w:ascii="宋体" w:hAnsi="宋体" w:eastAsia="宋体"/>
          <w:b/>
          <w:bCs/>
          <w:sz w:val="32"/>
          <w:szCs w:val="32"/>
        </w:rPr>
        <w:t>一是完善机制，压实责任，构建大生态环保工作格局。</w:t>
      </w:r>
      <w:r>
        <w:rPr>
          <w:rFonts w:hint="eastAsia" w:ascii="仿宋" w:hAnsi="仿宋" w:eastAsia="仿宋" w:cs="仿宋"/>
          <w:bCs/>
          <w:sz w:val="32"/>
          <w:szCs w:val="32"/>
        </w:rPr>
        <w:t>充分发挥县环委会统筹协调、牵头抓总的作用，认真履行县环委办、县水污染治理办公室、县大气办、县整改办的职责，积极组织县环委会、县环保大会，加强生态保护综合协调，深化生态文明改革，建立健全生态环境保护目标责任体系、考核评价和责任追究制度，从而有效落实生态环境保护“党政同责”“一岗双责”，有效落实各乡镇园区和县直相关责任部门齐抓共管责任，形成生态环境保护工作强大合力。</w:t>
      </w:r>
    </w:p>
    <w:p>
      <w:pPr>
        <w:spacing w:line="560" w:lineRule="exact"/>
        <w:ind w:firstLine="643" w:firstLineChars="200"/>
        <w:jc w:val="left"/>
        <w:rPr>
          <w:rFonts w:ascii="仿宋" w:hAnsi="仿宋" w:eastAsia="仿宋" w:cs="仿宋"/>
          <w:bCs/>
          <w:sz w:val="32"/>
          <w:szCs w:val="32"/>
        </w:rPr>
      </w:pPr>
      <w:r>
        <w:rPr>
          <w:rFonts w:hint="eastAsia" w:ascii="宋体" w:hAnsi="宋体" w:eastAsia="宋体"/>
          <w:b/>
          <w:bCs/>
          <w:sz w:val="32"/>
          <w:szCs w:val="32"/>
        </w:rPr>
        <w:t>二是坚决落实，彻底整改，扎实抓好中央环保督察整改。</w:t>
      </w:r>
      <w:r>
        <w:rPr>
          <w:rFonts w:hint="eastAsia" w:ascii="仿宋" w:hAnsi="仿宋" w:eastAsia="仿宋" w:cs="仿宋"/>
          <w:bCs/>
          <w:sz w:val="32"/>
          <w:szCs w:val="32"/>
        </w:rPr>
        <w:t>把中央和省环保督察整改特别是当前配合保障中央环保督察回头看工作作为落实习近平生态文明思想的重要抓手，坚决按照中央环保督察组和省市县的统一要求，不讲条件、不打折扣，全方位整改落实，全身心服务保障、全过程支持配合中央生态环保督察“回头看”。</w:t>
      </w:r>
    </w:p>
    <w:p>
      <w:pPr>
        <w:spacing w:line="560" w:lineRule="exact"/>
        <w:ind w:firstLine="643" w:firstLineChars="200"/>
        <w:jc w:val="left"/>
        <w:rPr>
          <w:rFonts w:ascii="仿宋" w:hAnsi="仿宋" w:eastAsia="仿宋" w:cs="仿宋"/>
          <w:bCs/>
          <w:sz w:val="32"/>
          <w:szCs w:val="32"/>
        </w:rPr>
      </w:pPr>
      <w:r>
        <w:rPr>
          <w:rFonts w:hint="eastAsia" w:ascii="宋体" w:hAnsi="宋体" w:eastAsia="宋体"/>
          <w:b/>
          <w:bCs/>
          <w:sz w:val="32"/>
          <w:szCs w:val="32"/>
        </w:rPr>
        <w:t>三是综合施策，科学治污，坚决打好污染防治攻坚战。</w:t>
      </w:r>
      <w:r>
        <w:rPr>
          <w:rFonts w:hint="eastAsia" w:ascii="仿宋" w:hAnsi="仿宋" w:eastAsia="仿宋" w:cs="仿宋"/>
          <w:bCs/>
          <w:sz w:val="32"/>
          <w:szCs w:val="32"/>
        </w:rPr>
        <w:t>围绕大气、水、土壤污染防治实施方案，以钉钉子精神坚决打赢蓝天保卫战,着力打好碧水保卫战,扎实推进净土保卫战。坚持联合协同作战，集中资源力量,</w:t>
      </w:r>
      <w:r>
        <w:rPr>
          <w:rFonts w:hint="eastAsia"/>
        </w:rPr>
        <w:t xml:space="preserve"> </w:t>
      </w:r>
      <w:r>
        <w:rPr>
          <w:rFonts w:hint="eastAsia" w:ascii="仿宋" w:hAnsi="仿宋" w:eastAsia="仿宋" w:cs="仿宋"/>
          <w:bCs/>
          <w:sz w:val="32"/>
          <w:szCs w:val="32"/>
        </w:rPr>
        <w:t>深挖治理潜力，强化环保宣传引导，引导全社会形成共抓环保的良好氛围。坚持科学精准治污，围绕环境突出问题，大力实施环巢湖生态示范区建设、未达标水体治理重点工程、河道清淤截污工程和乡镇污水处理厂及配套管网建设工程，积极开展污水处理厂达标改造、城区雨污管网错漏混接排查整治。坚持依法依规治污，综合运用行政、经济、法律、技术等手段，加速落后产能退出和“散乱污”等落后企业淘汰，督促企业落实生态环保主体责任，以生态环境保护促进高质量发展。</w:t>
      </w:r>
    </w:p>
    <w:p>
      <w:pPr>
        <w:spacing w:line="560" w:lineRule="exact"/>
        <w:ind w:firstLine="643" w:firstLineChars="200"/>
        <w:jc w:val="left"/>
        <w:rPr>
          <w:rFonts w:ascii="仿宋" w:hAnsi="仿宋" w:eastAsia="仿宋" w:cs="仿宋"/>
          <w:bCs/>
          <w:sz w:val="32"/>
          <w:szCs w:val="32"/>
        </w:rPr>
      </w:pPr>
      <w:r>
        <w:rPr>
          <w:rFonts w:hint="eastAsia" w:ascii="宋体" w:hAnsi="宋体" w:eastAsia="宋体"/>
          <w:b/>
          <w:bCs/>
          <w:sz w:val="32"/>
          <w:szCs w:val="32"/>
        </w:rPr>
        <w:t>四是严格监管，严厉打击，严厉打击环境违法行为。</w:t>
      </w:r>
      <w:r>
        <w:rPr>
          <w:rFonts w:hint="eastAsia" w:ascii="仿宋" w:hAnsi="仿宋" w:eastAsia="仿宋" w:cs="仿宋"/>
          <w:bCs/>
          <w:sz w:val="32"/>
          <w:szCs w:val="32"/>
        </w:rPr>
        <w:t>我们严格贯彻执行新《环保法》及四个配套办法等环保法律法规,坚持按照源头严控、过程严管、后果严惩和无禁区、全覆盖、零容忍的要求，认真开展环境保护大检查、执法大练兵、“双随机”检查及饮用水水源地保护、固废、黑臭水体、等各项专项执法检查，强化日常巡查检查，持续加大惩治力度，始终保持严厉打击环境违法的高压态势。</w:t>
      </w:r>
    </w:p>
    <w:p>
      <w:pPr>
        <w:spacing w:line="560" w:lineRule="exact"/>
        <w:ind w:firstLine="643" w:firstLineChars="200"/>
        <w:jc w:val="left"/>
        <w:rPr>
          <w:rFonts w:ascii="黑体" w:hAnsi="黑体" w:eastAsia="黑体"/>
          <w:b/>
          <w:bCs/>
          <w:sz w:val="32"/>
          <w:szCs w:val="32"/>
        </w:rPr>
      </w:pPr>
      <w:r>
        <w:rPr>
          <w:rFonts w:hint="eastAsia" w:ascii="黑体" w:hAnsi="黑体" w:eastAsia="黑体"/>
          <w:b/>
          <w:bCs/>
          <w:sz w:val="32"/>
          <w:szCs w:val="32"/>
        </w:rPr>
        <w:t>三、主要成效</w:t>
      </w:r>
    </w:p>
    <w:p>
      <w:pPr>
        <w:spacing w:line="560" w:lineRule="exact"/>
        <w:ind w:firstLine="643" w:firstLineChars="200"/>
        <w:jc w:val="left"/>
        <w:rPr>
          <w:rFonts w:ascii="仿宋_GB2312" w:hAnsi="宋体" w:eastAsia="仿宋_GB2312"/>
          <w:bCs/>
          <w:color w:val="auto"/>
          <w:sz w:val="32"/>
          <w:szCs w:val="32"/>
        </w:rPr>
      </w:pPr>
      <w:r>
        <w:rPr>
          <w:rFonts w:hint="eastAsia" w:ascii="宋体" w:hAnsi="宋体" w:eastAsia="宋体"/>
          <w:b/>
          <w:bCs/>
          <w:sz w:val="32"/>
          <w:szCs w:val="32"/>
        </w:rPr>
        <w:t>一是中央和省环保督察整改落地有声。</w:t>
      </w:r>
      <w:r>
        <w:rPr>
          <w:rFonts w:hint="eastAsia" w:ascii="仿宋_GB2312" w:hAnsi="宋体" w:eastAsia="仿宋_GB2312"/>
          <w:bCs/>
          <w:sz w:val="32"/>
          <w:szCs w:val="32"/>
        </w:rPr>
        <w:t>认真抓好2017年中央环保督察整改，中央环保督察反馈问题涉及我县的反馈意见23件，已完成整改14件，下剩9件正在整改中；转办信访件102件，仍有2件正加紧整改。今年按照市统一部署，对中央环保督察反馈意见和交办信访件整改情况进行了重新复核销号，针对存在的问题进一步加大工作力度，确保整改到位。认真抓好今年省第一环保督察组交办信访件的整改工作，</w:t>
      </w:r>
      <w:r>
        <w:rPr>
          <w:rFonts w:hint="eastAsia" w:ascii="仿宋_GB2312" w:hAnsi="宋体" w:eastAsia="仿宋_GB2312"/>
          <w:bCs/>
          <w:color w:val="auto"/>
          <w:sz w:val="32"/>
          <w:szCs w:val="32"/>
        </w:rPr>
        <w:t>省第一环保督察组交办我县信访件63件（重复投诉6件次），15件不属实，48件属实，目前已办结54件，正在整改9件。认真抓好今年中央环保督察“回头看”以来中央环保督</w:t>
      </w:r>
      <w:r>
        <w:rPr>
          <w:rFonts w:hint="eastAsia" w:ascii="仿宋_GB2312" w:hAnsi="宋体" w:eastAsia="仿宋_GB2312"/>
          <w:bCs/>
          <w:sz w:val="32"/>
          <w:szCs w:val="32"/>
        </w:rPr>
        <w:t>察组交办信访件，</w:t>
      </w:r>
      <w:r>
        <w:rPr>
          <w:rFonts w:hint="eastAsia" w:ascii="仿宋_GB2312" w:hAnsi="宋体" w:eastAsia="仿宋_GB2312"/>
          <w:bCs/>
          <w:color w:val="auto"/>
          <w:sz w:val="32"/>
          <w:szCs w:val="32"/>
        </w:rPr>
        <w:t>截至2018年11月12日，已交办信访件</w:t>
      </w:r>
      <w:r>
        <w:rPr>
          <w:rFonts w:hint="eastAsia" w:ascii="仿宋_GB2312" w:hAnsi="宋体" w:eastAsia="仿宋_GB2312"/>
          <w:bCs/>
          <w:color w:val="auto"/>
          <w:sz w:val="32"/>
          <w:szCs w:val="32"/>
          <w:lang w:val="en-US" w:eastAsia="zh-CN"/>
        </w:rPr>
        <w:t>15</w:t>
      </w:r>
      <w:r>
        <w:rPr>
          <w:rFonts w:hint="eastAsia" w:ascii="仿宋_GB2312" w:hAnsi="宋体" w:eastAsia="仿宋_GB2312"/>
          <w:bCs/>
          <w:color w:val="auto"/>
          <w:sz w:val="32"/>
          <w:szCs w:val="32"/>
        </w:rPr>
        <w:t>件，经核实</w:t>
      </w:r>
      <w:r>
        <w:rPr>
          <w:rFonts w:hint="eastAsia" w:ascii="仿宋_GB2312" w:hAnsi="宋体" w:eastAsia="仿宋_GB2312"/>
          <w:bCs/>
          <w:color w:val="auto"/>
          <w:sz w:val="32"/>
          <w:szCs w:val="32"/>
          <w:lang w:val="en-US" w:eastAsia="zh-CN"/>
        </w:rPr>
        <w:t>2</w:t>
      </w:r>
      <w:r>
        <w:rPr>
          <w:rFonts w:hint="eastAsia" w:ascii="仿宋_GB2312" w:hAnsi="宋体" w:eastAsia="仿宋_GB2312"/>
          <w:bCs/>
          <w:color w:val="auto"/>
          <w:sz w:val="32"/>
          <w:szCs w:val="32"/>
        </w:rPr>
        <w:t>件不属实，</w:t>
      </w:r>
      <w:r>
        <w:rPr>
          <w:rFonts w:hint="eastAsia" w:ascii="仿宋_GB2312" w:hAnsi="宋体" w:eastAsia="仿宋_GB2312"/>
          <w:bCs/>
          <w:color w:val="auto"/>
          <w:sz w:val="32"/>
          <w:szCs w:val="32"/>
          <w:lang w:val="en-US" w:eastAsia="zh-CN"/>
        </w:rPr>
        <w:t>10</w:t>
      </w:r>
      <w:r>
        <w:rPr>
          <w:rFonts w:hint="eastAsia" w:ascii="仿宋_GB2312" w:hAnsi="宋体" w:eastAsia="仿宋_GB2312"/>
          <w:bCs/>
          <w:color w:val="auto"/>
          <w:sz w:val="32"/>
          <w:szCs w:val="32"/>
        </w:rPr>
        <w:t>件属实，</w:t>
      </w:r>
      <w:r>
        <w:rPr>
          <w:rFonts w:hint="eastAsia" w:ascii="仿宋_GB2312" w:hAnsi="宋体" w:eastAsia="仿宋_GB2312"/>
          <w:bCs/>
          <w:color w:val="auto"/>
          <w:sz w:val="32"/>
          <w:szCs w:val="32"/>
          <w:lang w:val="en-US" w:eastAsia="zh-CN"/>
        </w:rPr>
        <w:t>3</w:t>
      </w:r>
      <w:r>
        <w:rPr>
          <w:rFonts w:hint="eastAsia" w:ascii="仿宋_GB2312" w:hAnsi="宋体" w:eastAsia="仿宋_GB2312"/>
          <w:bCs/>
          <w:color w:val="auto"/>
          <w:sz w:val="32"/>
          <w:szCs w:val="32"/>
        </w:rPr>
        <w:t>件正在</w:t>
      </w:r>
      <w:r>
        <w:rPr>
          <w:rFonts w:hint="eastAsia" w:ascii="仿宋_GB2312" w:hAnsi="宋体" w:eastAsia="仿宋_GB2312"/>
          <w:bCs/>
          <w:color w:val="auto"/>
          <w:sz w:val="32"/>
          <w:szCs w:val="32"/>
          <w:lang w:eastAsia="zh-CN"/>
        </w:rPr>
        <w:t>调查</w:t>
      </w:r>
      <w:r>
        <w:rPr>
          <w:rFonts w:hint="eastAsia" w:ascii="仿宋_GB2312" w:hAnsi="宋体" w:eastAsia="仿宋_GB2312"/>
          <w:bCs/>
          <w:color w:val="auto"/>
          <w:sz w:val="32"/>
          <w:szCs w:val="32"/>
        </w:rPr>
        <w:t>。</w:t>
      </w:r>
    </w:p>
    <w:p>
      <w:pPr>
        <w:spacing w:line="560" w:lineRule="exact"/>
        <w:ind w:firstLine="643" w:firstLineChars="200"/>
        <w:rPr>
          <w:rFonts w:ascii="仿宋_GB2312" w:hAnsi="Calibri" w:eastAsia="仿宋_GB2312" w:cs="Times New Roman"/>
          <w:sz w:val="32"/>
          <w:szCs w:val="32"/>
        </w:rPr>
      </w:pPr>
      <w:r>
        <w:rPr>
          <w:rFonts w:hint="eastAsia" w:ascii="宋体" w:hAnsi="宋体" w:eastAsia="宋体"/>
          <w:b/>
          <w:bCs/>
          <w:sz w:val="32"/>
          <w:szCs w:val="32"/>
        </w:rPr>
        <w:t>二是污染防治三大攻坚战成效显著。</w:t>
      </w:r>
      <w:r>
        <w:rPr>
          <w:rFonts w:hint="eastAsia" w:ascii="仿宋_GB2312" w:hAnsi="Calibri" w:eastAsia="仿宋_GB2312" w:cs="Times New Roman"/>
          <w:b/>
          <w:sz w:val="32"/>
          <w:szCs w:val="32"/>
        </w:rPr>
        <w:t>水方面，</w:t>
      </w:r>
      <w:r>
        <w:rPr>
          <w:rFonts w:hint="eastAsia" w:ascii="仿宋_GB2312" w:hAnsi="Calibri" w:eastAsia="仿宋_GB2312" w:cs="Times New Roman"/>
          <w:sz w:val="32"/>
          <w:szCs w:val="32"/>
        </w:rPr>
        <w:t>日深度处理10万吨的县城污水处理厂三期工程已建成运营，日处理1万吨的撮镇镇污水处理厂和日处理3万吨的循环园联熹污水处理厂稳定运行，8个乡镇污水处理厂及管网同步建成。实施中北部9个乡镇污水处理厂和8个DBO乡镇污水厂新增管网工程建设，白龙镇、杨店乡、包公镇、张集乡、响导乡、八斗镇、古城镇、马湖乡污水处理厂场区和管网正在施工，众兴乡污水处理厂已向市政府汇报接入新站区污水管网。深入</w:t>
      </w:r>
      <w:r>
        <w:rPr>
          <w:rFonts w:hint="eastAsia" w:ascii="仿宋_GB2312" w:hAnsi="Calibri" w:eastAsia="仿宋_GB2312" w:cs="Times New Roman"/>
          <w:color w:val="auto"/>
          <w:sz w:val="32"/>
          <w:szCs w:val="32"/>
        </w:rPr>
        <w:t>开展城区污水管网错接、混接、漏接排查，共排查问题</w:t>
      </w:r>
      <w:r>
        <w:rPr>
          <w:rFonts w:hint="eastAsia" w:ascii="仿宋_GB2312" w:eastAsia="仿宋_GB2312" w:cs="Times New Roman"/>
          <w:color w:val="auto"/>
          <w:sz w:val="32"/>
          <w:szCs w:val="32"/>
          <w:lang w:val="en-US" w:eastAsia="zh-CN"/>
        </w:rPr>
        <w:t>367</w:t>
      </w:r>
      <w:r>
        <w:rPr>
          <w:rFonts w:hint="eastAsia" w:ascii="仿宋_GB2312" w:hAnsi="Calibri" w:eastAsia="仿宋_GB2312" w:cs="Times New Roman"/>
          <w:color w:val="auto"/>
          <w:sz w:val="32"/>
          <w:szCs w:val="32"/>
        </w:rPr>
        <w:t>处，已完成整改</w:t>
      </w:r>
      <w:r>
        <w:rPr>
          <w:rFonts w:hint="eastAsia" w:ascii="仿宋_GB2312" w:eastAsia="仿宋_GB2312" w:cs="Times New Roman"/>
          <w:color w:val="auto"/>
          <w:sz w:val="32"/>
          <w:szCs w:val="32"/>
          <w:lang w:val="en-US" w:eastAsia="zh-CN"/>
        </w:rPr>
        <w:t>85</w:t>
      </w:r>
      <w:r>
        <w:rPr>
          <w:rFonts w:hint="eastAsia" w:ascii="仿宋_GB2312" w:hAnsi="Calibri" w:eastAsia="仿宋_GB2312" w:cs="Times New Roman"/>
          <w:color w:val="auto"/>
          <w:sz w:val="32"/>
          <w:szCs w:val="32"/>
        </w:rPr>
        <w:t>处。大力推进入河排污口截污整治，已完成整治</w:t>
      </w:r>
      <w:r>
        <w:rPr>
          <w:rFonts w:hint="eastAsia" w:ascii="仿宋_GB2312" w:eastAsia="仿宋_GB2312" w:cs="Times New Roman"/>
          <w:color w:val="auto"/>
          <w:sz w:val="32"/>
          <w:szCs w:val="32"/>
          <w:lang w:val="en-US" w:eastAsia="zh-CN"/>
        </w:rPr>
        <w:t>5</w:t>
      </w:r>
      <w:r>
        <w:rPr>
          <w:rFonts w:hint="eastAsia" w:ascii="仿宋_GB2312" w:hAnsi="Calibri" w:eastAsia="仿宋_GB2312" w:cs="Times New Roman"/>
          <w:color w:val="auto"/>
          <w:sz w:val="32"/>
          <w:szCs w:val="32"/>
        </w:rPr>
        <w:t>个。全面落实园区污水处理、设施运行、数据监测全覆盖。严格保护饮用水水源地，持续开展专项行动，及时排查整改发现问题，确保众兴水库水质稳定达标。切实加强巢湖蓝藻防控， 2018年打捞</w:t>
      </w:r>
      <w:r>
        <w:rPr>
          <w:rFonts w:hint="eastAsia" w:ascii="仿宋_GB2312" w:eastAsia="仿宋_GB2312"/>
          <w:bCs/>
          <w:color w:val="auto"/>
          <w:sz w:val="32"/>
          <w:szCs w:val="32"/>
          <w:lang w:val="en-US" w:eastAsia="zh-CN"/>
        </w:rPr>
        <w:t>162543</w:t>
      </w:r>
      <w:r>
        <w:rPr>
          <w:rFonts w:hint="eastAsia" w:ascii="仿宋_GB2312" w:hAnsi="Calibri" w:eastAsia="仿宋_GB2312" w:cs="Times New Roman"/>
          <w:color w:val="auto"/>
          <w:sz w:val="32"/>
          <w:szCs w:val="32"/>
        </w:rPr>
        <w:t>吨，日处理能力达5000</w:t>
      </w:r>
      <w:r>
        <w:rPr>
          <w:rFonts w:hint="eastAsia" w:ascii="仿宋_GB2312" w:hAnsi="Calibri" w:eastAsia="仿宋_GB2312" w:cs="Times New Roman"/>
          <w:sz w:val="32"/>
          <w:szCs w:val="32"/>
        </w:rPr>
        <w:t>吨的长临藻水分离站建成投入运行。推进农业农村污染防治，开展畜禽养殖污染专项整治行动，加强农业畜禽、水产养殖污染治理。谋划制定滁河流域、池河流域禁养区划定工作，下一步将对这两个流域主支流1公里内的养殖场进行拆迁关闭。对巢湖一级保护区内餐饮企业、农家乐进行对标整改，其中11家污水接入市政管网进入长临河镇污水处理厂，对剩余8家餐饮企业实施了关闭。继续实施农村环境综合整治，今年将再完成27个建制村整治任务。</w:t>
      </w:r>
      <w:r>
        <w:rPr>
          <w:rFonts w:hint="eastAsia" w:ascii="仿宋_GB2312" w:hAnsi="Calibri" w:eastAsia="仿宋_GB2312" w:cs="Times New Roman"/>
          <w:b/>
          <w:sz w:val="32"/>
          <w:szCs w:val="32"/>
        </w:rPr>
        <w:t>大气方面，</w:t>
      </w:r>
      <w:r>
        <w:rPr>
          <w:rFonts w:hint="eastAsia" w:ascii="仿宋_GB2312" w:eastAsia="仿宋_GB2312"/>
          <w:bCs/>
          <w:sz w:val="32"/>
          <w:szCs w:val="32"/>
        </w:rPr>
        <w:t>以“一尘两气三厂”治理为重点，制定蓝天行动实施方案，印发2018年大气污染防治工作计划，实施大气污染防治十大专项行动，强化重污染天气应对，全面整治大气污染，全县大气质量持续改善。</w:t>
      </w:r>
      <w:r>
        <w:rPr>
          <w:rFonts w:hint="eastAsia" w:ascii="仿宋_GB2312" w:eastAsia="仿宋_GB2312"/>
          <w:b/>
          <w:bCs/>
          <w:sz w:val="32"/>
          <w:szCs w:val="32"/>
        </w:rPr>
        <w:t>土壤方面，</w:t>
      </w:r>
      <w:r>
        <w:rPr>
          <w:rFonts w:hint="eastAsia" w:ascii="仿宋_GB2312" w:hAnsi="Calibri" w:eastAsia="仿宋_GB2312" w:cs="Times New Roman"/>
          <w:sz w:val="32"/>
          <w:szCs w:val="32"/>
        </w:rPr>
        <w:t>加强固体废物规范化管理，强化危险废物全过程监管,开展固体废物非法转移、倾倒、处置专项整治行动，经排查，全县共有产生固废的企业670家，其中涉及危险废物的有276家，检查发现的问题已全部督促整改完成。</w:t>
      </w:r>
    </w:p>
    <w:p>
      <w:pPr>
        <w:spacing w:line="560" w:lineRule="exact"/>
        <w:ind w:firstLine="643" w:firstLineChars="200"/>
        <w:jc w:val="left"/>
        <w:rPr>
          <w:rFonts w:ascii="宋体" w:hAnsi="宋体" w:eastAsia="宋体"/>
          <w:b/>
          <w:bCs/>
          <w:sz w:val="32"/>
          <w:szCs w:val="32"/>
        </w:rPr>
      </w:pPr>
      <w:r>
        <w:rPr>
          <w:rFonts w:hint="eastAsia" w:ascii="宋体" w:hAnsi="宋体" w:eastAsia="宋体"/>
          <w:b/>
          <w:bCs/>
          <w:sz w:val="32"/>
          <w:szCs w:val="32"/>
        </w:rPr>
        <w:t>三是生态文明体制改革扎实推进。</w:t>
      </w:r>
      <w:r>
        <w:rPr>
          <w:rFonts w:hint="eastAsia" w:ascii="仿宋_GB2312" w:hAnsi="Calibri" w:eastAsia="仿宋_GB2312" w:cs="Times New Roman"/>
          <w:sz w:val="32"/>
          <w:szCs w:val="32"/>
        </w:rPr>
        <w:t>进一步深化生态环境领域“放管服”改革，以环评审批为重点，改革环评管理方式，提高环评审批效率，服务实体经济。同时强化服务意识，严格执法同时加强对企业整改的指导，推动经济高质量发展。河长制、林长制实现常态化运行。排污许可证改革扎实推进，目前已完成水泥、电镀、农药、造纸、发电、</w:t>
      </w:r>
      <w:r>
        <w:rPr>
          <w:rFonts w:hint="eastAsia" w:ascii="仿宋_GB2312" w:hAnsi="Calibri" w:eastAsia="仿宋_GB2312" w:cs="Times New Roman"/>
          <w:color w:val="auto"/>
          <w:sz w:val="32"/>
          <w:szCs w:val="32"/>
        </w:rPr>
        <w:t>钢铁等行业23家企业排污许可证发放，正组织淀粉加工、屠宰及肉类加工企业27家企业申报许可证，</w:t>
      </w:r>
      <w:r>
        <w:rPr>
          <w:rFonts w:hint="eastAsia" w:ascii="仿宋_GB2312" w:hAnsi="Calibri" w:eastAsia="仿宋_GB2312" w:cs="Times New Roman"/>
          <w:sz w:val="32"/>
          <w:szCs w:val="32"/>
        </w:rPr>
        <w:t>确保2018年底完成发放任务。推进环境信用建设，建立红黑榜制度，对我县“市控”企业环境信用评价结果定期公开，督促企业严格执行环保法律法规和制度。扎实有序推进我县第二次全国污染源普查工作，目前已完成清查建库，正在开展入户调查工作。</w:t>
      </w:r>
    </w:p>
    <w:p>
      <w:pPr>
        <w:spacing w:line="560" w:lineRule="exact"/>
        <w:ind w:firstLine="643" w:firstLineChars="200"/>
        <w:jc w:val="left"/>
        <w:rPr>
          <w:rFonts w:ascii="仿宋_GB2312" w:hAnsi="Calibri" w:eastAsia="仿宋_GB2312" w:cs="Times New Roman"/>
          <w:sz w:val="32"/>
          <w:szCs w:val="32"/>
        </w:rPr>
      </w:pPr>
      <w:r>
        <w:rPr>
          <w:rFonts w:hint="eastAsia" w:ascii="宋体" w:hAnsi="宋体" w:eastAsia="宋体"/>
          <w:b/>
          <w:bCs/>
          <w:sz w:val="32"/>
          <w:szCs w:val="32"/>
        </w:rPr>
        <w:t>四是环境监管进一步强化。</w:t>
      </w:r>
      <w:r>
        <w:rPr>
          <w:rFonts w:hint="eastAsia" w:ascii="仿宋_GB2312" w:hAnsi="Calibri" w:eastAsia="仿宋_GB2312" w:cs="Times New Roman"/>
          <w:color w:val="auto"/>
          <w:sz w:val="32"/>
          <w:szCs w:val="32"/>
        </w:rPr>
        <w:t>2018年1</w:t>
      </w:r>
      <w:r>
        <w:rPr>
          <w:rFonts w:ascii="仿宋_GB2312" w:hAnsi="Calibri" w:eastAsia="仿宋_GB2312" w:cs="Times New Roman"/>
          <w:color w:val="auto"/>
          <w:sz w:val="32"/>
          <w:szCs w:val="32"/>
        </w:rPr>
        <w:t>—</w:t>
      </w:r>
      <w:r>
        <w:rPr>
          <w:rFonts w:hint="eastAsia" w:ascii="仿宋_GB2312" w:hAnsi="Calibri" w:eastAsia="仿宋_GB2312" w:cs="Times New Roman"/>
          <w:color w:val="auto"/>
          <w:sz w:val="32"/>
          <w:szCs w:val="32"/>
        </w:rPr>
        <w:t>10月份，通过各类执法检查，共责令</w:t>
      </w:r>
      <w:r>
        <w:rPr>
          <w:rFonts w:hint="eastAsia" w:ascii="仿宋_GB2312" w:hAnsi="Calibri" w:eastAsia="仿宋_GB2312" w:cs="Times New Roman"/>
          <w:color w:val="auto"/>
          <w:sz w:val="32"/>
          <w:szCs w:val="32"/>
          <w:lang w:val="en-US" w:eastAsia="zh-CN"/>
        </w:rPr>
        <w:t>28</w:t>
      </w:r>
      <w:r>
        <w:rPr>
          <w:rFonts w:hint="eastAsia" w:ascii="仿宋_GB2312" w:hAnsi="Calibri" w:eastAsia="仿宋_GB2312" w:cs="Times New Roman"/>
          <w:color w:val="auto"/>
          <w:sz w:val="32"/>
          <w:szCs w:val="32"/>
        </w:rPr>
        <w:t xml:space="preserve">家企业限期改正环境违法行为，责令  </w:t>
      </w:r>
      <w:r>
        <w:rPr>
          <w:rFonts w:hint="eastAsia" w:ascii="仿宋_GB2312" w:hAnsi="Calibri" w:eastAsia="仿宋_GB2312" w:cs="Times New Roman"/>
          <w:color w:val="auto"/>
          <w:sz w:val="32"/>
          <w:szCs w:val="32"/>
          <w:lang w:val="en-US" w:eastAsia="zh-CN"/>
        </w:rPr>
        <w:t>30</w:t>
      </w:r>
      <w:r>
        <w:rPr>
          <w:rFonts w:hint="eastAsia" w:ascii="仿宋_GB2312" w:hAnsi="Calibri" w:eastAsia="仿宋_GB2312" w:cs="Times New Roman"/>
          <w:color w:val="auto"/>
          <w:sz w:val="32"/>
          <w:szCs w:val="32"/>
        </w:rPr>
        <w:t>家企业停产</w:t>
      </w:r>
      <w:r>
        <w:rPr>
          <w:rFonts w:hint="eastAsia" w:ascii="仿宋_GB2312" w:eastAsia="仿宋_GB2312" w:cs="Times New Roman"/>
          <w:color w:val="auto"/>
          <w:sz w:val="32"/>
          <w:szCs w:val="32"/>
          <w:lang w:val="en-US" w:eastAsia="zh-CN"/>
        </w:rPr>
        <w:t>限产</w:t>
      </w:r>
      <w:r>
        <w:rPr>
          <w:rFonts w:hint="eastAsia" w:ascii="仿宋_GB2312" w:hAnsi="Calibri" w:eastAsia="仿宋_GB2312" w:cs="Times New Roman"/>
          <w:color w:val="auto"/>
          <w:sz w:val="32"/>
          <w:szCs w:val="32"/>
        </w:rPr>
        <w:t>，对</w:t>
      </w:r>
      <w:r>
        <w:rPr>
          <w:rFonts w:hint="eastAsia" w:ascii="仿宋_GB2312" w:eastAsia="仿宋_GB2312" w:cs="Times New Roman"/>
          <w:color w:val="auto"/>
          <w:sz w:val="32"/>
          <w:szCs w:val="32"/>
          <w:lang w:val="en-US" w:eastAsia="zh-CN"/>
        </w:rPr>
        <w:t>70</w:t>
      </w:r>
      <w:r>
        <w:rPr>
          <w:rFonts w:hint="eastAsia" w:ascii="仿宋_GB2312" w:hAnsi="Calibri" w:eastAsia="仿宋_GB2312" w:cs="Times New Roman"/>
          <w:color w:val="auto"/>
          <w:sz w:val="32"/>
          <w:szCs w:val="32"/>
        </w:rPr>
        <w:t>家企业实施查封、扣押，对</w:t>
      </w:r>
      <w:r>
        <w:rPr>
          <w:rFonts w:hint="eastAsia" w:ascii="仿宋_GB2312" w:hAnsi="Calibri" w:eastAsia="仿宋_GB2312" w:cs="Times New Roman"/>
          <w:color w:val="auto"/>
          <w:sz w:val="32"/>
          <w:szCs w:val="32"/>
          <w:lang w:val="en-US" w:eastAsia="zh-CN"/>
        </w:rPr>
        <w:t>80</w:t>
      </w:r>
      <w:r>
        <w:rPr>
          <w:rFonts w:hint="eastAsia" w:ascii="仿宋_GB2312" w:hAnsi="Calibri" w:eastAsia="仿宋_GB2312" w:cs="Times New Roman"/>
          <w:color w:val="auto"/>
          <w:sz w:val="32"/>
          <w:szCs w:val="32"/>
        </w:rPr>
        <w:t>家企业进行经济处罚，处罚金额达</w:t>
      </w:r>
      <w:r>
        <w:rPr>
          <w:rFonts w:hint="eastAsia" w:ascii="仿宋_GB2312" w:hAnsi="Calibri" w:eastAsia="仿宋_GB2312" w:cs="Times New Roman"/>
          <w:color w:val="auto"/>
          <w:sz w:val="32"/>
          <w:szCs w:val="32"/>
          <w:lang w:val="en-US" w:eastAsia="zh-CN"/>
        </w:rPr>
        <w:t>555.8</w:t>
      </w:r>
      <w:r>
        <w:rPr>
          <w:rFonts w:hint="eastAsia" w:ascii="仿宋_GB2312" w:hAnsi="Calibri" w:eastAsia="仿宋_GB2312" w:cs="Times New Roman"/>
          <w:color w:val="auto"/>
          <w:sz w:val="32"/>
          <w:szCs w:val="32"/>
        </w:rPr>
        <w:t>万元；对</w:t>
      </w:r>
      <w:r>
        <w:rPr>
          <w:rFonts w:hint="eastAsia" w:ascii="仿宋_GB2312" w:hAnsi="Calibri" w:eastAsia="仿宋_GB2312" w:cs="Times New Roman"/>
          <w:color w:val="auto"/>
          <w:sz w:val="32"/>
          <w:szCs w:val="32"/>
          <w:lang w:val="en-US" w:eastAsia="zh-CN"/>
        </w:rPr>
        <w:t>8</w:t>
      </w:r>
      <w:r>
        <w:rPr>
          <w:rFonts w:hint="eastAsia" w:ascii="仿宋_GB2312" w:hAnsi="Calibri" w:eastAsia="仿宋_GB2312" w:cs="Times New Roman"/>
          <w:color w:val="auto"/>
          <w:sz w:val="32"/>
          <w:szCs w:val="32"/>
        </w:rPr>
        <w:t>家企业相关负责人移送公安部门行政拘留。全面治理“散乱污”企业，排查出“散乱污”企业</w:t>
      </w:r>
      <w:r>
        <w:rPr>
          <w:rFonts w:hint="eastAsia" w:ascii="仿宋_GB2312" w:hAnsi="Calibri" w:eastAsia="仿宋_GB2312" w:cs="Times New Roman"/>
          <w:color w:val="auto"/>
          <w:sz w:val="32"/>
          <w:szCs w:val="32"/>
          <w:lang w:val="en-US" w:eastAsia="zh-CN"/>
        </w:rPr>
        <w:t>79</w:t>
      </w:r>
      <w:r>
        <w:rPr>
          <w:rFonts w:hint="eastAsia" w:ascii="仿宋_GB2312" w:hAnsi="Calibri" w:eastAsia="仿宋_GB2312" w:cs="Times New Roman"/>
          <w:color w:val="auto"/>
          <w:sz w:val="32"/>
          <w:szCs w:val="32"/>
        </w:rPr>
        <w:t>家，目前已完成整治</w:t>
      </w:r>
      <w:r>
        <w:rPr>
          <w:rFonts w:hint="eastAsia" w:ascii="仿宋_GB2312" w:hAnsi="Calibri" w:eastAsia="仿宋_GB2312" w:cs="Times New Roman"/>
          <w:color w:val="auto"/>
          <w:sz w:val="32"/>
          <w:szCs w:val="32"/>
          <w:lang w:val="en-US" w:eastAsia="zh-CN"/>
        </w:rPr>
        <w:t>74</w:t>
      </w:r>
      <w:r>
        <w:rPr>
          <w:rFonts w:hint="eastAsia" w:ascii="仿宋_GB2312" w:hAnsi="Calibri" w:eastAsia="仿宋_GB2312" w:cs="Times New Roman"/>
          <w:color w:val="auto"/>
          <w:sz w:val="32"/>
          <w:szCs w:val="32"/>
        </w:rPr>
        <w:t>家，下剩的</w:t>
      </w:r>
      <w:r>
        <w:rPr>
          <w:rFonts w:hint="eastAsia" w:ascii="仿宋_GB2312" w:hAnsi="Calibri" w:eastAsia="仿宋_GB2312" w:cs="Times New Roman"/>
          <w:color w:val="auto"/>
          <w:sz w:val="32"/>
          <w:szCs w:val="32"/>
          <w:lang w:val="en-US" w:eastAsia="zh-CN"/>
        </w:rPr>
        <w:t>5</w:t>
      </w:r>
      <w:r>
        <w:rPr>
          <w:rFonts w:hint="eastAsia" w:ascii="仿宋_GB2312" w:hAnsi="Calibri" w:eastAsia="仿宋_GB2312" w:cs="Times New Roman"/>
          <w:color w:val="auto"/>
          <w:sz w:val="32"/>
          <w:szCs w:val="32"/>
        </w:rPr>
        <w:t>家2018年11月30日前完成整改。</w:t>
      </w:r>
      <w:r>
        <w:rPr>
          <w:rFonts w:hint="eastAsia" w:ascii="仿宋_GB2312" w:hAnsi="Calibri" w:eastAsia="仿宋_GB2312" w:cs="Times New Roman"/>
          <w:sz w:val="32"/>
          <w:szCs w:val="32"/>
        </w:rPr>
        <w:t>全面治理“散乱污”企业， 2018年排查出“散乱污”企业80家，目前已完成整治60家，下剩的20家确保在2018年11月30日前完成整改。强化环境监测，定期对169家重点废水、废气排放企业开展联动检查，不定期对养殖企业开展现场环境监测监察。通过定区域、定人员、定职责、定任务“五定”,完善环境网格化监管体系，实现环境监管全覆盖、无死角。</w:t>
      </w:r>
    </w:p>
    <w:p>
      <w:pPr>
        <w:spacing w:line="560" w:lineRule="exact"/>
        <w:ind w:firstLine="627" w:firstLineChars="196"/>
        <w:rPr>
          <w:rFonts w:ascii="黑体" w:hAnsi="黑体" w:eastAsia="黑体" w:cs="Times New Roman"/>
          <w:color w:val="000000"/>
          <w:sz w:val="32"/>
          <w:szCs w:val="32"/>
        </w:rPr>
      </w:pPr>
      <w:r>
        <w:rPr>
          <w:rFonts w:hint="eastAsia" w:ascii="黑体" w:hAnsi="黑体" w:eastAsia="黑体" w:cs="Times New Roman"/>
          <w:color w:val="000000"/>
          <w:sz w:val="32"/>
          <w:szCs w:val="32"/>
        </w:rPr>
        <w:t>三、下一步工作打算</w:t>
      </w:r>
    </w:p>
    <w:p>
      <w:pPr>
        <w:spacing w:line="560" w:lineRule="exact"/>
        <w:ind w:firstLine="643" w:firstLineChars="200"/>
        <w:rPr>
          <w:rFonts w:ascii="仿宋_GB2312" w:hAnsi="Calibri" w:eastAsia="仿宋_GB2312" w:cs="Times New Roman"/>
          <w:sz w:val="32"/>
          <w:szCs w:val="32"/>
        </w:rPr>
      </w:pPr>
      <w:r>
        <w:rPr>
          <w:rFonts w:hint="eastAsia" w:ascii="宋体" w:hAnsi="宋体" w:eastAsia="宋体" w:cs="Times New Roman"/>
          <w:b/>
          <w:sz w:val="32"/>
          <w:szCs w:val="32"/>
        </w:rPr>
        <w:t>（一）全面完成中央和省环保督察整改任务。</w:t>
      </w:r>
      <w:r>
        <w:rPr>
          <w:rFonts w:hint="eastAsia" w:ascii="仿宋_GB2312" w:hAnsi="Calibri" w:eastAsia="仿宋_GB2312" w:cs="Times New Roman"/>
          <w:sz w:val="32"/>
          <w:szCs w:val="32"/>
        </w:rPr>
        <w:t>对照中央和省环保督察反馈意见整改要求，加大工作力度，确保按时高标准高质量完成2017年中央环保督察下剩任务整改。全力配合保障中央环保督察“回头看”工作，认真做好中央环保督察回头看和今年省第一环保督察组转办信访件整改工作，切实推进省大气督查发现问题得到整改落实。</w:t>
      </w:r>
    </w:p>
    <w:p>
      <w:pPr>
        <w:spacing w:line="560" w:lineRule="exact"/>
        <w:ind w:firstLine="643" w:firstLineChars="200"/>
        <w:rPr>
          <w:rFonts w:ascii="仿宋_GB2312" w:hAnsi="Calibri" w:eastAsia="仿宋_GB2312" w:cs="Times New Roman"/>
          <w:sz w:val="32"/>
          <w:szCs w:val="32"/>
        </w:rPr>
      </w:pPr>
      <w:r>
        <w:rPr>
          <w:rFonts w:hint="eastAsia" w:ascii="宋体" w:hAnsi="宋体" w:eastAsia="宋体" w:cs="Times New Roman"/>
          <w:b/>
          <w:sz w:val="32"/>
          <w:szCs w:val="32"/>
        </w:rPr>
        <w:t>（二）进一步强化责任落实。</w:t>
      </w:r>
      <w:r>
        <w:rPr>
          <w:rFonts w:hint="eastAsia" w:ascii="仿宋_GB2312" w:hAnsi="Calibri" w:eastAsia="仿宋_GB2312" w:cs="Times New Roman"/>
          <w:sz w:val="32"/>
          <w:szCs w:val="32"/>
        </w:rPr>
        <w:t>按照“管行业必须管环保、管业务必须管环保、管建设生产经营必须管环保”的“三管三必须”要求，督促部门齐抓共管，把污染防治的责任落到实处。强化环境监管主体责任，督促企业实施环保规范化管理，遵守环评审批和备案制度。推进排污许可证制度改革，加快推进肥东环境信用建设，督促重点企业做到信息公开、台账管理、在线监测，压实企业主体责任。</w:t>
      </w:r>
    </w:p>
    <w:p>
      <w:pPr>
        <w:spacing w:line="560" w:lineRule="exact"/>
        <w:ind w:firstLine="643" w:firstLineChars="200"/>
        <w:rPr>
          <w:rFonts w:ascii="仿宋_GB2312" w:hAnsi="Calibri" w:eastAsia="仿宋_GB2312" w:cs="Times New Roman"/>
          <w:sz w:val="32"/>
          <w:szCs w:val="32"/>
        </w:rPr>
      </w:pPr>
      <w:r>
        <w:rPr>
          <w:rFonts w:hint="eastAsia" w:ascii="宋体" w:hAnsi="宋体" w:eastAsia="宋体" w:cs="Times New Roman"/>
          <w:b/>
          <w:sz w:val="32"/>
          <w:szCs w:val="32"/>
        </w:rPr>
        <w:t>（三）实施污染防治综合治理。</w:t>
      </w:r>
      <w:r>
        <w:rPr>
          <w:rFonts w:hint="eastAsia" w:ascii="仿宋_GB2312" w:hAnsi="Calibri" w:eastAsia="仿宋_GB2312" w:cs="Times New Roman"/>
          <w:sz w:val="32"/>
          <w:szCs w:val="32"/>
        </w:rPr>
        <w:t>践行生态优先、绿色发展理念，以改善环境质量为核心，以生态文明改革为动力，深入开展污染防治综合治理，确保达到市控目标。深化放管服改革，强化环境服务意识，提升环境审批效率，严把建设项目准入关，坚决限制“两高一低”项目，推进经济结构转型升级，实现环境保护与经济社会发展高度融合。</w:t>
      </w:r>
    </w:p>
    <w:p>
      <w:pPr>
        <w:spacing w:line="560" w:lineRule="exact"/>
        <w:ind w:firstLine="643" w:firstLineChars="200"/>
        <w:rPr>
          <w:rFonts w:ascii="仿宋_GB2312" w:hAnsi="Calibri" w:eastAsia="仿宋_GB2312" w:cs="Times New Roman"/>
          <w:sz w:val="32"/>
          <w:szCs w:val="32"/>
        </w:rPr>
      </w:pPr>
      <w:r>
        <w:rPr>
          <w:rFonts w:hint="eastAsia" w:ascii="宋体" w:hAnsi="宋体" w:eastAsia="宋体" w:cs="Times New Roman"/>
          <w:b/>
          <w:sz w:val="32"/>
          <w:szCs w:val="32"/>
        </w:rPr>
        <w:t>（四）严格环境监管执法。</w:t>
      </w:r>
      <w:r>
        <w:rPr>
          <w:rFonts w:hint="eastAsia" w:ascii="仿宋_GB2312" w:hAnsi="Calibri" w:eastAsia="仿宋_GB2312" w:cs="Times New Roman"/>
          <w:sz w:val="32"/>
          <w:szCs w:val="32"/>
        </w:rPr>
        <w:t>建立健全“两法”高效衔接机制，主动与公安、交通、城管、住建等多部门开展联合执法，严厉打击各类环境违法行为。严守生态红线，严格环评审批，把总量控制和环境风险防范作为新、改、扩建项目环评审批的前提条件，从源头上控制污染物排放新增量。强化环境监测，完善环境质量监测网络和重点污染源自动监控体系建设，建立环境监测、评估、预警体系。加强环境监测设备配备，提升环境监测能力，开展环境联动监测。</w:t>
      </w:r>
    </w:p>
    <w:p>
      <w:pPr>
        <w:spacing w:line="560" w:lineRule="exact"/>
        <w:ind w:firstLine="643" w:firstLineChars="200"/>
        <w:rPr>
          <w:rFonts w:ascii="仿宋_GB2312" w:hAnsi="Times New Roman" w:eastAsia="仿宋_GB2312" w:cs="Times New Roman"/>
          <w:color w:val="000000"/>
          <w:sz w:val="32"/>
          <w:szCs w:val="32"/>
        </w:rPr>
      </w:pPr>
      <w:r>
        <w:rPr>
          <w:rFonts w:hint="eastAsia" w:ascii="宋体" w:hAnsi="宋体" w:eastAsia="宋体" w:cs="仿宋_GB2312"/>
          <w:b/>
          <w:sz w:val="32"/>
          <w:szCs w:val="32"/>
        </w:rPr>
        <w:t>（五）加大环保宣传和信息公开。</w:t>
      </w:r>
      <w:r>
        <w:rPr>
          <w:rFonts w:hint="eastAsia" w:ascii="仿宋_GB2312" w:hAnsi="宋体" w:eastAsia="仿宋_GB2312" w:cs="宋体"/>
          <w:sz w:val="32"/>
          <w:szCs w:val="32"/>
        </w:rPr>
        <w:t>依托“6·5环境日”、“12·4法制宣传日”等契机，充分利用全媒体，全方位、多角度宣传生态文明建设政策法规，引导公众自觉履行环境保护的社会责任和义务。加快推进肥东环境保护信用体系建设，全面公开各项环境信息，加大环境违法行为曝光力度，深度公开典型违法案件信息，增强舆论监督，提升政府公信力。</w:t>
      </w:r>
    </w:p>
    <w:p>
      <w:pPr>
        <w:spacing w:line="560" w:lineRule="exact"/>
        <w:ind w:firstLine="660"/>
        <w:jc w:val="left"/>
        <w:rPr>
          <w:rFonts w:ascii="仿宋_GB2312" w:eastAsia="仿宋_GB2312"/>
          <w:sz w:val="32"/>
          <w:szCs w:val="32"/>
        </w:rPr>
      </w:pPr>
    </w:p>
    <w:p>
      <w:pPr>
        <w:spacing w:line="560" w:lineRule="exact"/>
        <w:ind w:firstLine="660"/>
        <w:jc w:val="left"/>
        <w:rPr>
          <w:rFonts w:ascii="仿宋_GB2312" w:eastAsia="仿宋_GB2312"/>
          <w:sz w:val="32"/>
          <w:szCs w:val="32"/>
        </w:rPr>
      </w:pPr>
      <w:r>
        <w:rPr>
          <w:rFonts w:hint="eastAsia" w:ascii="仿宋_GB2312" w:eastAsia="仿宋_GB2312"/>
          <w:sz w:val="32"/>
          <w:szCs w:val="32"/>
        </w:rPr>
        <w:t xml:space="preserve">                             </w:t>
      </w:r>
      <w:bookmarkStart w:id="0" w:name="_GoBack"/>
      <w:bookmarkEnd w:id="0"/>
      <w:r>
        <w:rPr>
          <w:rFonts w:hint="eastAsia" w:ascii="仿宋_GB2312" w:eastAsia="仿宋_GB2312"/>
          <w:sz w:val="32"/>
          <w:szCs w:val="32"/>
        </w:rPr>
        <w:t>肥东县环境监察大队</w:t>
      </w:r>
    </w:p>
    <w:p>
      <w:pPr>
        <w:spacing w:line="560" w:lineRule="exact"/>
        <w:ind w:firstLine="5296" w:firstLineChars="1655"/>
        <w:jc w:val="left"/>
        <w:rPr>
          <w:rFonts w:ascii="仿宋_GB2312" w:eastAsia="仿宋_GB2312"/>
          <w:sz w:val="32"/>
          <w:szCs w:val="32"/>
        </w:rPr>
      </w:pPr>
      <w:r>
        <w:rPr>
          <w:rFonts w:hint="eastAsia" w:ascii="仿宋_GB2312" w:eastAsia="仿宋_GB2312"/>
          <w:sz w:val="32"/>
          <w:szCs w:val="32"/>
        </w:rPr>
        <w:t>2018年11月13日</w:t>
      </w:r>
    </w:p>
    <w:sectPr>
      <w:footerReference r:id="rId3" w:type="default"/>
      <w:pgSz w:w="11906" w:h="16838"/>
      <w:pgMar w:top="1440" w:right="17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金桥简标宋">
    <w:altName w:val="宋体"/>
    <w:panose1 w:val="00000000000000000000"/>
    <w:charset w:val="86"/>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pPr>
    <w:r>
      <w:fldChar w:fldCharType="begin"/>
    </w:r>
    <w:r>
      <w:instrText xml:space="preserve">PAGE   \* MERGEFORMAT</w:instrText>
    </w:r>
    <w:r>
      <w:fldChar w:fldCharType="separate"/>
    </w:r>
    <w:r>
      <w:rPr>
        <w:lang w:val="zh-CN"/>
      </w:rPr>
      <w:t>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67E544A"/>
    <w:rsid w:val="0ABF5804"/>
    <w:rsid w:val="14744D6C"/>
    <w:rsid w:val="5A6905E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kern w:val="2"/>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kern w:val="2"/>
      <w:sz w:val="18"/>
      <w:szCs w:val="18"/>
    </w:rPr>
  </w:style>
  <w:style w:type="character" w:customStyle="1" w:styleId="6">
    <w:name w:val="页脚 Char"/>
    <w:basedOn w:val="4"/>
    <w:link w:val="2"/>
    <w:semiHidden/>
    <w:qFormat/>
    <w:uiPriority w:val="0"/>
    <w:rPr>
      <w:kern w:val="2"/>
      <w:sz w:val="18"/>
      <w:szCs w:val="18"/>
    </w:rPr>
  </w:style>
  <w:style w:type="character" w:customStyle="1" w:styleId="7">
    <w:name w:val="页眉 Char"/>
    <w:basedOn w:val="4"/>
    <w:link w:val="3"/>
    <w:semiHidden/>
    <w:qFormat/>
    <w:uiPriority w:val="0"/>
    <w:rPr>
      <w:kern w:val="2"/>
      <w:sz w:val="18"/>
      <w:szCs w:val="18"/>
    </w:rPr>
  </w:style>
  <w:style w:type="paragraph" w:customStyle="1" w:styleId="8">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ITianKong.Com</Company>
  <Pages>7</Pages>
  <Words>611</Words>
  <Characters>3484</Characters>
  <Lines>29</Lines>
  <Paragraphs>8</Paragraphs>
  <TotalTime>0</TotalTime>
  <ScaleCrop>false</ScaleCrop>
  <LinksUpToDate>false</LinksUpToDate>
  <CharactersWithSpaces>0</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2018-10-16T17:21:00Z</dcterms:created>
  <dc:creator>Administrator</dc:creator>
  <cp:lastModifiedBy>zhangyichen</cp:lastModifiedBy>
  <dcterms:modified xsi:type="dcterms:W3CDTF">2018-12-18T04:07:47Z</dcterms:modified>
  <dc:title>Administrator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