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仿宋" w:asciiTheme="majorEastAsia" w:hAnsiTheme="majorEastAsia" w:eastAsiaTheme="majorEastAsia"/>
          <w:sz w:val="44"/>
          <w:szCs w:val="44"/>
          <w:shd w:val="clear" w:color="auto" w:fill="FFFFFF"/>
        </w:rPr>
      </w:pPr>
      <w:r>
        <w:rPr>
          <w:rFonts w:hint="eastAsia" w:cs="仿宋" w:asciiTheme="majorEastAsia" w:hAnsiTheme="majorEastAsia" w:eastAsiaTheme="majorEastAsia"/>
          <w:sz w:val="44"/>
          <w:szCs w:val="44"/>
          <w:shd w:val="clear" w:color="auto" w:fill="FFFFFF"/>
        </w:rPr>
        <w:t>泉州市环境监察支队申报大练兵活动</w:t>
      </w:r>
    </w:p>
    <w:p>
      <w:pPr>
        <w:jc w:val="center"/>
        <w:rPr>
          <w:rFonts w:cs="仿宋" w:asciiTheme="majorEastAsia" w:hAnsiTheme="majorEastAsia" w:eastAsiaTheme="majorEastAsia"/>
          <w:sz w:val="44"/>
          <w:szCs w:val="44"/>
          <w:shd w:val="clear" w:color="auto" w:fill="FFFFFF"/>
        </w:rPr>
      </w:pPr>
      <w:r>
        <w:rPr>
          <w:rFonts w:hint="eastAsia" w:cs="仿宋" w:asciiTheme="majorEastAsia" w:hAnsiTheme="majorEastAsia" w:eastAsiaTheme="majorEastAsia"/>
          <w:sz w:val="44"/>
          <w:szCs w:val="44"/>
          <w:shd w:val="clear" w:color="auto" w:fill="FFFFFF"/>
        </w:rPr>
        <w:t>先进集体事迹材料</w:t>
      </w:r>
    </w:p>
    <w:p>
      <w:pPr>
        <w:ind w:firstLine="640" w:firstLineChars="200"/>
        <w:rPr>
          <w:rFonts w:ascii="仿宋_GB2312" w:hAnsi="仿宋" w:eastAsia="仿宋_GB2312" w:cs="仿宋"/>
          <w:sz w:val="32"/>
          <w:szCs w:val="32"/>
          <w:shd w:val="clear" w:color="auto" w:fill="FFFFFF"/>
        </w:rPr>
      </w:pPr>
    </w:p>
    <w:p>
      <w:pPr>
        <w:keepNext w:val="0"/>
        <w:keepLines w:val="0"/>
        <w:pageBreakBefore w:val="0"/>
        <w:widowControl w:val="0"/>
        <w:kinsoku/>
        <w:wordWrap/>
        <w:overflowPunct/>
        <w:topLinePunct w:val="0"/>
        <w:bidi w:val="0"/>
        <w:adjustRightInd w:val="0"/>
        <w:snapToGrid w:val="0"/>
        <w:spacing w:line="560" w:lineRule="exact"/>
        <w:ind w:firstLine="640" w:firstLineChars="200"/>
        <w:jc w:val="left"/>
        <w:textAlignment w:val="auto"/>
        <w:outlineLvl w:val="9"/>
        <w:rPr>
          <w:rFonts w:ascii="仿宋_GB2312" w:hAnsi="仿宋" w:eastAsia="仿宋_GB2312" w:cs="仿宋"/>
          <w:sz w:val="32"/>
          <w:szCs w:val="32"/>
          <w:shd w:val="clear" w:color="auto" w:fill="FFFFFF"/>
        </w:rPr>
      </w:pPr>
      <w:r>
        <w:rPr>
          <w:rFonts w:hint="eastAsia" w:ascii="仿宋_GB2312" w:hAnsi="仿宋" w:eastAsia="仿宋_GB2312" w:cs="仿宋"/>
          <w:sz w:val="32"/>
          <w:szCs w:val="32"/>
          <w:shd w:val="clear" w:color="auto" w:fill="FFFFFF"/>
        </w:rPr>
        <w:t>2018年以来,我市以改善环境质量为目标,以贯彻执行新法新规新标为主线,以严厉打击环境违法行为为重点,以集中查办典型环境违法案件为抓手,以防范环境风险为底线,努力解决突出环境问题,有力的保障了群众环境权益。</w:t>
      </w:r>
    </w:p>
    <w:p>
      <w:pPr>
        <w:keepNext w:val="0"/>
        <w:keepLines w:val="0"/>
        <w:pageBreakBefore w:val="0"/>
        <w:widowControl w:val="0"/>
        <w:kinsoku/>
        <w:wordWrap/>
        <w:overflowPunct/>
        <w:topLinePunct w:val="0"/>
        <w:bidi w:val="0"/>
        <w:spacing w:line="560" w:lineRule="exact"/>
        <w:ind w:firstLine="640" w:firstLineChars="200"/>
        <w:textAlignment w:val="auto"/>
        <w:outlineLvl w:val="9"/>
        <w:rPr>
          <w:rFonts w:ascii="黑体" w:hAnsi="黑体" w:eastAsia="黑体" w:cs="黑体"/>
          <w:bCs/>
          <w:sz w:val="32"/>
          <w:szCs w:val="32"/>
          <w:shd w:val="clear" w:color="auto" w:fill="FFFFFF"/>
        </w:rPr>
      </w:pPr>
      <w:r>
        <w:rPr>
          <w:rFonts w:hint="eastAsia" w:ascii="黑体" w:hAnsi="黑体" w:eastAsia="黑体" w:cs="黑体"/>
          <w:bCs/>
          <w:sz w:val="32"/>
          <w:szCs w:val="32"/>
          <w:shd w:val="clear" w:color="auto" w:fill="FFFFFF"/>
        </w:rPr>
        <w:t>一、执法工作总体情况</w:t>
      </w:r>
    </w:p>
    <w:p>
      <w:pPr>
        <w:keepNext w:val="0"/>
        <w:keepLines w:val="0"/>
        <w:pageBreakBefore w:val="0"/>
        <w:widowControl w:val="0"/>
        <w:kinsoku/>
        <w:wordWrap/>
        <w:overflowPunct/>
        <w:topLinePunct w:val="0"/>
        <w:bidi w:val="0"/>
        <w:spacing w:line="560" w:lineRule="exact"/>
        <w:ind w:firstLine="640" w:firstLineChars="200"/>
        <w:textAlignment w:val="auto"/>
        <w:outlineLvl w:val="9"/>
        <w:rPr>
          <w:rFonts w:ascii="仿宋_GB2312" w:hAnsi="仿宋_GB2312" w:eastAsia="仿宋_GB2312" w:cs="仿宋_GB2312"/>
          <w:color w:val="000000"/>
          <w:sz w:val="32"/>
          <w:szCs w:val="32"/>
          <w:shd w:val="clear" w:color="auto" w:fill="FFFFFF"/>
        </w:rPr>
      </w:pPr>
      <w:r>
        <w:rPr>
          <w:rFonts w:hint="eastAsia" w:ascii="仿宋_GB2312" w:hAnsi="仿宋" w:eastAsia="仿宋_GB2312" w:cs="仿宋"/>
          <w:sz w:val="32"/>
          <w:szCs w:val="32"/>
          <w:shd w:val="clear" w:color="auto" w:fill="FFFFFF"/>
        </w:rPr>
        <w:t>2018年以来，我市先后组织开展了：</w:t>
      </w:r>
      <w:r>
        <w:rPr>
          <w:rFonts w:hint="eastAsia" w:ascii="仿宋_GB2312" w:eastAsia="仿宋_GB2312"/>
          <w:sz w:val="32"/>
          <w:szCs w:val="32"/>
        </w:rPr>
        <w:t>进口固体废物加工利用行业“一季一督查”、“清水蓝天”环保专项行动、“清废行动”、消耗臭氧层物质（ODS)检查、</w:t>
      </w:r>
      <w:r>
        <w:rPr>
          <w:rFonts w:hint="eastAsia" w:ascii="仿宋_GB2312" w:hAnsi="仿宋" w:eastAsia="仿宋_GB2312" w:cs="仿宋"/>
          <w:sz w:val="32"/>
          <w:szCs w:val="32"/>
          <w:shd w:val="clear" w:color="auto" w:fill="FFFFFF"/>
        </w:rPr>
        <w:t>石材行业专项执法检查、</w:t>
      </w:r>
      <w:r>
        <w:rPr>
          <w:rFonts w:hint="eastAsia" w:ascii="仿宋_GB2312" w:eastAsia="仿宋_GB2312"/>
          <w:sz w:val="32"/>
          <w:szCs w:val="32"/>
        </w:rPr>
        <w:t>“绿盾2018”自然保护区监督检查专项行动和工业园区环保专项执法检查等一系列专项行动。全市共出动执法人员50864人次、检查企业19689家次，</w:t>
      </w:r>
      <w:r>
        <w:rPr>
          <w:rFonts w:hint="eastAsia" w:ascii="楷体_GB2312" w:hAnsi="楷体_GB2312" w:eastAsia="楷体_GB2312" w:cs="楷体_GB2312"/>
          <w:sz w:val="32"/>
          <w:szCs w:val="32"/>
        </w:rPr>
        <w:t>在查处案件数量方面，</w:t>
      </w:r>
      <w:r>
        <w:rPr>
          <w:rFonts w:hint="eastAsia" w:ascii="仿宋_GB2312" w:eastAsia="仿宋_GB2312"/>
          <w:sz w:val="32"/>
          <w:szCs w:val="32"/>
        </w:rPr>
        <w:t>2018年1月至11月25日，我市各级环保部门环境行政处罚案件数740件，位居全省</w:t>
      </w:r>
      <w:r>
        <w:rPr>
          <w:rFonts w:hint="eastAsia" w:ascii="仿宋_GB2312" w:hAnsi="宋体" w:eastAsia="仿宋_GB2312" w:cs="宋体"/>
          <w:sz w:val="32"/>
          <w:szCs w:val="32"/>
        </w:rPr>
        <w:t>第一；</w:t>
      </w:r>
      <w:r>
        <w:rPr>
          <w:rFonts w:hint="eastAsia" w:ascii="楷体_GB2312" w:hAnsi="楷体_GB2312" w:eastAsia="楷体_GB2312" w:cs="楷体_GB2312"/>
          <w:sz w:val="32"/>
          <w:szCs w:val="32"/>
        </w:rPr>
        <w:t>在罚款金额方面，</w:t>
      </w:r>
      <w:r>
        <w:rPr>
          <w:rFonts w:hint="eastAsia" w:ascii="仿宋_GB2312" w:eastAsia="仿宋_GB2312"/>
          <w:sz w:val="32"/>
          <w:szCs w:val="32"/>
        </w:rPr>
        <w:t>2018年2018年1月至11月25日，我市各级环保部门环境行政处罚金额6908.45436万元，位居全省</w:t>
      </w:r>
      <w:r>
        <w:rPr>
          <w:rFonts w:hint="eastAsia" w:ascii="仿宋_GB2312" w:hAnsi="宋体" w:eastAsia="仿宋_GB2312" w:cs="宋体"/>
          <w:sz w:val="32"/>
          <w:szCs w:val="32"/>
        </w:rPr>
        <w:t>第一；</w:t>
      </w:r>
      <w:r>
        <w:rPr>
          <w:rFonts w:hint="eastAsia" w:ascii="楷体_GB2312" w:hAnsi="楷体_GB2312" w:eastAsia="楷体_GB2312" w:cs="楷体_GB2312"/>
          <w:sz w:val="32"/>
          <w:szCs w:val="32"/>
        </w:rPr>
        <w:t>在重大案件数量方面，2</w:t>
      </w:r>
      <w:r>
        <w:rPr>
          <w:rFonts w:hint="eastAsia" w:ascii="仿宋_GB2312" w:eastAsia="仿宋_GB2312"/>
          <w:sz w:val="32"/>
          <w:szCs w:val="32"/>
        </w:rPr>
        <w:t>018年1月至11月25日，全市各级环保部门充分运用新环保法赋予的新手段查处环境违法行为、排查案源和典型事例，查办重大案件508起，位居全省第一。其中，</w:t>
      </w:r>
      <w:r>
        <w:rPr>
          <w:rFonts w:hint="eastAsia" w:ascii="仿宋_GB2312" w:hAnsi="仿宋" w:eastAsia="仿宋_GB2312" w:cs="仿宋"/>
          <w:sz w:val="32"/>
          <w:szCs w:val="32"/>
          <w:shd w:val="clear" w:color="auto" w:fill="FFFFFF"/>
        </w:rPr>
        <w:t>按日计罚1起，限产</w:t>
      </w:r>
      <w:r>
        <w:rPr>
          <w:rFonts w:hint="eastAsia" w:ascii="仿宋_GB2312" w:eastAsia="仿宋_GB2312"/>
          <w:color w:val="000000"/>
          <w:sz w:val="32"/>
          <w:szCs w:val="32"/>
        </w:rPr>
        <w:t>、停产14起，查封、扣押案件350起，移送侦办案件143起（其中，行政拘留案件124起、涉嫌环境犯罪案件19起）</w:t>
      </w:r>
      <w:r>
        <w:rPr>
          <w:rFonts w:hint="eastAsia" w:ascii="仿宋_GB2312" w:eastAsia="仿宋_GB2312"/>
          <w:sz w:val="32"/>
          <w:szCs w:val="32"/>
        </w:rPr>
        <w:t>。2018年1-10月，我市配套办法案件数量排名全国前十，连续四次受到生态环境部通报表扬。</w:t>
      </w:r>
    </w:p>
    <w:p>
      <w:pPr>
        <w:keepNext w:val="0"/>
        <w:keepLines w:val="0"/>
        <w:pageBreakBefore w:val="0"/>
        <w:widowControl w:val="0"/>
        <w:numPr>
          <w:ilvl w:val="0"/>
          <w:numId w:val="1"/>
        </w:numPr>
        <w:kinsoku/>
        <w:wordWrap/>
        <w:overflowPunct/>
        <w:topLinePunct w:val="0"/>
        <w:bidi w:val="0"/>
        <w:spacing w:line="560" w:lineRule="exact"/>
        <w:ind w:firstLine="640" w:firstLineChars="200"/>
        <w:textAlignment w:val="auto"/>
        <w:outlineLvl w:val="9"/>
        <w:rPr>
          <w:rFonts w:ascii="黑体" w:hAnsi="黑体" w:eastAsia="黑体" w:cs="黑体"/>
          <w:bCs/>
          <w:sz w:val="32"/>
          <w:szCs w:val="32"/>
          <w:shd w:val="clear" w:color="auto" w:fill="FFFFFF"/>
        </w:rPr>
      </w:pPr>
      <w:r>
        <w:rPr>
          <w:rFonts w:hint="eastAsia" w:ascii="黑体" w:hAnsi="黑体" w:eastAsia="黑体" w:cs="黑体"/>
          <w:bCs/>
          <w:sz w:val="32"/>
          <w:szCs w:val="32"/>
          <w:shd w:val="clear" w:color="auto" w:fill="FFFFFF"/>
        </w:rPr>
        <w:t>重点工作特色</w:t>
      </w: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outlineLvl w:val="9"/>
        <w:rPr>
          <w:rFonts w:ascii="仿宋_GB2312" w:eastAsia="仿宋_GB2312"/>
          <w:color w:val="FF0000"/>
          <w:sz w:val="32"/>
          <w:szCs w:val="32"/>
        </w:rPr>
      </w:pPr>
      <w:r>
        <w:rPr>
          <w:rFonts w:hint="eastAsia" w:ascii="仿宋_GB2312" w:eastAsia="仿宋_GB2312"/>
          <w:sz w:val="32"/>
          <w:szCs w:val="32"/>
        </w:rPr>
        <w:t>1.根据《福建省环保厅 福建省公安厅关于联合开展“清水蓝天”环保专项执法行动的通知》（闽环保总队〔2018〕10号）的文件精神，市环保局、公安局在全市联合开展2018年“清水蓝天”环保执法专项行动。行动中，各级环保部门积极寻找和提供涉嫌污染环境犯罪及适合行政拘留等新环保法“四个配套办法”的环境违法案件案源，并联合省督查组对环境违法企业依法进行查处。自2018年5月1日至11月25日，全市环保部门共检查6894家企业，出动执法人员18016人次，立案查处环境违法行为998起。其中，司法移送14件，行政拘留72件，查封扣押案件322件，限产停产整治案件12件。</w:t>
      </w: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2.加大流域环境执法力度，扎实推进石狮市、晋江市、南安市三地跨境流域的污染整治工作，努力创造“水清、河畅、岸绿、生态”的泉州水环境，我市于今年8月中旬启动对三地跨境流域企业违法排污问题联合交叉执法检查。从全市各县（市、区）抽调执法骨干力量，分成三个现场执法监察组开展联合交叉执法行动。活动开展一个多月来，已查处环境违法企业6家，依法取缔4家，移送公安机关查办涉嫌污染环境犯罪案件1起。</w:t>
      </w: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3.建立健全环境监管网格化监管机制，充分调动各级网格员作用，提升环境监管效率。实现网格化环境监管信息系统和综治部门的“城乡社区网格化服务管理信息平台”无缝对接，全面推广软件应用。今年以来，全市各级网格员累计报送各类环境事件信息41242条，环境监管信息33243条，污染源基础信息1268条。</w:t>
      </w:r>
    </w:p>
    <w:p>
      <w:pPr>
        <w:keepNext w:val="0"/>
        <w:keepLines w:val="0"/>
        <w:pageBreakBefore w:val="0"/>
        <w:widowControl w:val="0"/>
        <w:kinsoku/>
        <w:wordWrap/>
        <w:overflowPunct/>
        <w:topLinePunct w:val="0"/>
        <w:bidi w:val="0"/>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eastAsia="仿宋_GB2312"/>
          <w:sz w:val="32"/>
          <w:szCs w:val="32"/>
        </w:rPr>
        <w:t>4.不</w:t>
      </w:r>
      <w:r>
        <w:rPr>
          <w:rFonts w:hint="eastAsia" w:ascii="仿宋_GB2312" w:hAnsi="Calibri" w:eastAsia="仿宋_GB2312" w:cs="Arial"/>
          <w:sz w:val="32"/>
          <w:szCs w:val="32"/>
        </w:rPr>
        <w:t>断提升环境监管能力建设。</w:t>
      </w:r>
      <w:r>
        <w:rPr>
          <w:rFonts w:hint="eastAsia" w:ascii="仿宋_GB2312" w:hAnsi="仿宋_GB2312" w:eastAsia="仿宋_GB2312" w:cs="仿宋_GB2312"/>
          <w:sz w:val="32"/>
          <w:szCs w:val="32"/>
        </w:rPr>
        <w:t>加快推进环保移动执法系统及网络平台建设，加强移动执法系统日常环境执法应用。</w:t>
      </w:r>
      <w:r>
        <w:rPr>
          <w:rFonts w:hint="eastAsia" w:ascii="仿宋_GB2312" w:hAnsi="宋体" w:eastAsia="仿宋_GB2312" w:cs="宋体"/>
          <w:sz w:val="32"/>
          <w:szCs w:val="32"/>
        </w:rPr>
        <w:t>今年来，全市福建环境监察执法平台共完成执法信息录入6734条，平台共录入案件1248起，处罚金额达</w:t>
      </w:r>
      <w:r>
        <w:rPr>
          <w:rFonts w:hint="eastAsia" w:ascii="仿宋_GB2312" w:eastAsia="仿宋_GB2312"/>
          <w:sz w:val="32"/>
          <w:szCs w:val="32"/>
        </w:rPr>
        <w:t>6908.45436</w:t>
      </w:r>
      <w:r>
        <w:rPr>
          <w:rFonts w:hint="eastAsia" w:ascii="仿宋_GB2312" w:hAnsi="宋体" w:eastAsia="仿宋_GB2312" w:cs="宋体"/>
          <w:sz w:val="32"/>
          <w:szCs w:val="32"/>
        </w:rPr>
        <w:t>万元。</w:t>
      </w:r>
    </w:p>
    <w:p>
      <w:pPr>
        <w:keepNext w:val="0"/>
        <w:keepLines w:val="0"/>
        <w:pageBreakBefore w:val="0"/>
        <w:widowControl w:val="0"/>
        <w:kinsoku/>
        <w:wordWrap/>
        <w:overflowPunct/>
        <w:topLinePunct w:val="0"/>
        <w:bidi w:val="0"/>
        <w:spacing w:line="560" w:lineRule="exact"/>
        <w:ind w:firstLine="640" w:firstLineChars="200"/>
        <w:textAlignment w:val="auto"/>
        <w:outlineLvl w:val="9"/>
        <w:rPr>
          <w:rFonts w:ascii="仿宋_GB2312" w:hAnsi="宋体" w:eastAsia="仿宋_GB2312" w:cs="宋体"/>
          <w:sz w:val="32"/>
          <w:szCs w:val="32"/>
        </w:rPr>
      </w:pPr>
      <w:r>
        <w:rPr>
          <w:rFonts w:hint="eastAsia" w:ascii="仿宋_GB2312" w:hAnsi="仿宋_GB2312" w:eastAsia="仿宋_GB2312" w:cs="仿宋_GB2312"/>
          <w:sz w:val="32"/>
          <w:szCs w:val="32"/>
        </w:rPr>
        <w:t>5.</w:t>
      </w:r>
      <w:r>
        <w:rPr>
          <w:rFonts w:hint="eastAsia" w:ascii="仿宋_GB2312" w:hAnsi="宋体" w:eastAsia="仿宋_GB2312" w:cs="宋体"/>
          <w:sz w:val="32"/>
          <w:szCs w:val="32"/>
        </w:rPr>
        <w:t>完善污染源自动监控系统，提高执法效能。全市应安装自动监控设施的119家重点排污单位（或重点企业）已全部与环保部门联网，实现省、市、县三级联动，实时监管排污单位污染物排放情况。2018年以来，我市已利用自动监控数据查处超标排污违法行为13起，查处篡改伪造自动监控数据及自动监控设施不正常运行案件3起。2018年7月17日，生态环境部将我局查处的南安市南翼污水处理厂篡改伪造自动监控数据案件作为5个典型案例之一，进行全国通报，肯定我市在认真贯彻中办、国办《关于深化环境监测改革提高环境监测数据质量的意见》，加大对环境监测数据弄虚作假行为打击力度方面取得的积极成效。</w:t>
      </w:r>
    </w:p>
    <w:p>
      <w:pPr>
        <w:keepNext w:val="0"/>
        <w:keepLines w:val="0"/>
        <w:pageBreakBefore w:val="0"/>
        <w:widowControl w:val="0"/>
        <w:kinsoku/>
        <w:wordWrap/>
        <w:overflowPunct/>
        <w:topLinePunct w:val="0"/>
        <w:bidi w:val="0"/>
        <w:adjustRightInd w:val="0"/>
        <w:snapToGrid w:val="0"/>
        <w:spacing w:line="560" w:lineRule="exact"/>
        <w:ind w:firstLine="640" w:firstLineChars="200"/>
        <w:jc w:val="left"/>
        <w:textAlignment w:val="auto"/>
        <w:outlineLvl w:val="9"/>
        <w:rPr>
          <w:rFonts w:ascii="仿宋_GB2312" w:hAnsi="宋体" w:eastAsia="仿宋_GB2312" w:cs="宋体"/>
          <w:sz w:val="32"/>
          <w:szCs w:val="32"/>
        </w:rPr>
      </w:pPr>
      <w:r>
        <w:rPr>
          <w:rFonts w:hint="eastAsia" w:ascii="仿宋_GB2312" w:eastAsia="仿宋_GB2312"/>
          <w:sz w:val="32"/>
          <w:szCs w:val="32"/>
        </w:rPr>
        <w:t>6.为进一步规范我市案件办理工作，提升案件办理质量，市局通过福建省环境检查执法平台案件系统随机抽取部分地区案件，抽调业务骨干对案件进行评查，深入剖析案件法律适用准确性、执法程序合法性、证据采集制作规范性等方面存在的问题，并形成《泉州市环境保护局关于2018年环境执法大练兵案卷市级抽查评查情况的通报》下发各县市区环保局，要求各地对照通报中提出的问题，以点带面、以评促改，进一步提升案件质量。</w:t>
      </w:r>
      <w:r>
        <w:rPr>
          <w:rFonts w:hint="eastAsia" w:ascii="仿宋_GB2312" w:hAnsi="仿宋_GB2312" w:eastAsia="仿宋_GB2312" w:cs="仿宋_GB2312"/>
          <w:kern w:val="0"/>
          <w:sz w:val="32"/>
          <w:szCs w:val="32"/>
        </w:rPr>
        <w:t>市环保局</w:t>
      </w:r>
      <w:r>
        <w:rPr>
          <w:rFonts w:hint="eastAsia" w:ascii="仿宋_GB2312" w:hAnsi="仿宋_GB2312" w:eastAsia="仿宋_GB2312" w:cs="仿宋_GB2312"/>
          <w:sz w:val="32"/>
          <w:szCs w:val="32"/>
        </w:rPr>
        <w:t>分管领导亲自带队到我市各地进行大练兵工作督导，着重对市环境监察支队、晋江市、石狮市、南安市、惠安县、安溪县等地开展案件办理现场对接督导。对各地行业特征和案件办理情况进行系统梳理，对各地案件办理方向提出了指导性意见，全面提升大练兵活动实效。</w:t>
      </w:r>
    </w:p>
    <w:p>
      <w:pPr>
        <w:keepNext w:val="0"/>
        <w:keepLines w:val="0"/>
        <w:pageBreakBefore w:val="0"/>
        <w:widowControl w:val="0"/>
        <w:kinsoku/>
        <w:wordWrap/>
        <w:overflowPunct/>
        <w:topLinePunct w:val="0"/>
        <w:bidi w:val="0"/>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7.开展环境监察稽查工作，以稽查促规范，全面提升全市环保部门环境监察工作的规范化。组织开展对</w:t>
      </w:r>
      <w:r>
        <w:rPr>
          <w:rFonts w:hint="eastAsia" w:ascii="仿宋_GB2312" w:eastAsia="仿宋_GB2312"/>
          <w:sz w:val="32"/>
          <w:szCs w:val="32"/>
        </w:rPr>
        <w:t>石狮市、惠安县和德化县等地区环境监察工作开展情况的现场稽查，重点围绕污染源日常监管、行政处罚案件评审和环境信访查处等四大方面工作进行稽查，对稽查中发现存在的问题及时下达整改意见，并组织开展整改情况后督察，进一步规范了各县（市、区）环境监察工作的开展。</w:t>
      </w:r>
    </w:p>
    <w:p>
      <w:pPr>
        <w:keepNext w:val="0"/>
        <w:keepLines w:val="0"/>
        <w:pageBreakBefore w:val="0"/>
        <w:widowControl w:val="0"/>
        <w:kinsoku/>
        <w:wordWrap/>
        <w:overflowPunct/>
        <w:topLinePunct w:val="0"/>
        <w:bidi w:val="0"/>
        <w:spacing w:line="560" w:lineRule="exact"/>
        <w:ind w:firstLine="640" w:firstLineChars="200"/>
        <w:textAlignment w:val="auto"/>
        <w:outlineLvl w:val="9"/>
        <w:rPr>
          <w:rFonts w:eastAsia="仿宋_GB2312"/>
          <w:sz w:val="32"/>
          <w:szCs w:val="32"/>
        </w:rPr>
      </w:pPr>
      <w:r>
        <w:rPr>
          <w:rFonts w:hint="eastAsia" w:ascii="仿宋_GB2312" w:eastAsia="仿宋_GB2312"/>
          <w:sz w:val="32"/>
          <w:szCs w:val="32"/>
        </w:rPr>
        <w:t>8.开展测管联动工作。根据省厅文件要求，支队制定工作计划、联合市环境监测站和县级环境监察大队对重点排污单位开展测管联动，</w:t>
      </w:r>
      <w:r>
        <w:rPr>
          <w:rFonts w:ascii="仿宋_GB2312" w:hAnsi="宋体" w:eastAsia="仿宋_GB2312"/>
          <w:sz w:val="32"/>
          <w:szCs w:val="32"/>
        </w:rPr>
        <w:t>实施市级测管联动的</w:t>
      </w:r>
      <w:r>
        <w:rPr>
          <w:rFonts w:hint="eastAsia" w:ascii="仿宋_GB2312" w:hAnsi="宋体" w:eastAsia="仿宋_GB2312"/>
          <w:sz w:val="32"/>
          <w:szCs w:val="32"/>
        </w:rPr>
        <w:t>10家</w:t>
      </w:r>
      <w:r>
        <w:rPr>
          <w:rFonts w:ascii="仿宋_GB2312" w:hAnsi="宋体" w:eastAsia="仿宋_GB2312"/>
          <w:sz w:val="32"/>
          <w:szCs w:val="32"/>
        </w:rPr>
        <w:t>重点排污单位和监测项目，</w:t>
      </w:r>
      <w:r>
        <w:rPr>
          <w:rFonts w:hint="eastAsia" w:ascii="仿宋_GB2312" w:hAnsi="宋体" w:eastAsia="仿宋_GB2312"/>
          <w:sz w:val="32"/>
          <w:szCs w:val="32"/>
        </w:rPr>
        <w:t>其中涉气企业7家、涉水企业3家。</w:t>
      </w:r>
      <w:r>
        <w:rPr>
          <w:rFonts w:hint="eastAsia" w:ascii="仿宋_GB2312" w:eastAsia="仿宋_GB2312"/>
          <w:sz w:val="32"/>
          <w:szCs w:val="32"/>
        </w:rPr>
        <w:t>并将监测期间的自动监控数据与市环境监测站监测报告、企业工况等进行对比，核实被测企业是否存在监测期间擅自降低负荷等异常情况。根据</w:t>
      </w:r>
      <w:r>
        <w:rPr>
          <w:rFonts w:ascii="仿宋_GB2312" w:hAnsi="宋体" w:eastAsia="仿宋_GB2312"/>
          <w:sz w:val="32"/>
          <w:szCs w:val="32"/>
        </w:rPr>
        <w:t>市环境监测站出具的监测报告显示，福建省环境工程有限公司</w:t>
      </w:r>
      <w:r>
        <w:rPr>
          <w:rFonts w:eastAsia="仿宋_GB2312"/>
          <w:sz w:val="32"/>
          <w:szCs w:val="32"/>
        </w:rPr>
        <w:t>泉州分公司废气除尘设施出口烟道中的烟尘浓度为</w:t>
      </w:r>
      <w:r>
        <w:rPr>
          <w:rFonts w:ascii="仿宋_GB2312" w:hAnsi="宋体" w:eastAsia="仿宋_GB2312"/>
          <w:sz w:val="32"/>
          <w:szCs w:val="32"/>
        </w:rPr>
        <w:t>2</w:t>
      </w:r>
      <w:r>
        <w:rPr>
          <w:rFonts w:hint="eastAsia" w:ascii="仿宋_GB2312" w:hAnsi="宋体" w:eastAsia="仿宋_GB2312"/>
          <w:sz w:val="32"/>
          <w:szCs w:val="32"/>
        </w:rPr>
        <w:t>13</w:t>
      </w:r>
      <w:r>
        <w:rPr>
          <w:rFonts w:ascii="仿宋_GB2312" w:hAnsi="宋体" w:eastAsia="仿宋_GB2312"/>
          <w:sz w:val="32"/>
          <w:szCs w:val="32"/>
        </w:rPr>
        <w:t>mg/m</w:t>
      </w:r>
      <w:r>
        <w:rPr>
          <w:rFonts w:ascii="仿宋_GB2312" w:hAnsi="宋体" w:eastAsia="仿宋_GB2312"/>
          <w:sz w:val="32"/>
          <w:szCs w:val="32"/>
          <w:vertAlign w:val="superscript"/>
        </w:rPr>
        <w:t>3</w:t>
      </w:r>
      <w:r>
        <w:rPr>
          <w:rFonts w:eastAsia="仿宋_GB2312"/>
          <w:sz w:val="32"/>
          <w:szCs w:val="32"/>
        </w:rPr>
        <w:t>，超过《危险废物焚烧污染控制标准》</w:t>
      </w:r>
      <w:r>
        <w:rPr>
          <w:rFonts w:hint="eastAsia" w:ascii="仿宋_GB2312" w:eastAsia="仿宋_GB2312"/>
          <w:sz w:val="32"/>
          <w:szCs w:val="32"/>
        </w:rPr>
        <w:t>（GB18484-2001）表3焚烧容量≥2500kg/h的排放标准限值要求（烟尘≤65 mg/m</w:t>
      </w:r>
      <w:r>
        <w:rPr>
          <w:rFonts w:hint="eastAsia" w:ascii="仿宋_GB2312" w:eastAsia="仿宋_GB2312"/>
          <w:sz w:val="32"/>
          <w:szCs w:val="32"/>
          <w:vertAlign w:val="superscript"/>
        </w:rPr>
        <w:t>3</w:t>
      </w:r>
      <w:r>
        <w:rPr>
          <w:rFonts w:hint="eastAsia" w:ascii="仿宋_GB2312" w:eastAsia="仿宋_GB2312"/>
          <w:sz w:val="32"/>
          <w:szCs w:val="32"/>
        </w:rPr>
        <w:t>）；其余9家</w:t>
      </w:r>
      <w:r>
        <w:rPr>
          <w:rFonts w:hint="eastAsia" w:eastAsia="仿宋_GB2312"/>
          <w:sz w:val="32"/>
          <w:szCs w:val="32"/>
        </w:rPr>
        <w:t>企业均能达标排放。</w:t>
      </w:r>
      <w:r>
        <w:rPr>
          <w:rFonts w:hint="eastAsia" w:ascii="仿宋_GB2312" w:hAnsi="宋体" w:eastAsia="仿宋_GB2312"/>
          <w:sz w:val="32"/>
          <w:szCs w:val="32"/>
        </w:rPr>
        <w:t>已于9月11日</w:t>
      </w:r>
      <w:r>
        <w:rPr>
          <w:rFonts w:hint="eastAsia" w:eastAsia="仿宋_GB2312"/>
          <w:sz w:val="32"/>
          <w:szCs w:val="32"/>
        </w:rPr>
        <w:t>对该公司进行立案调查，目前正在办理中。</w:t>
      </w:r>
    </w:p>
    <w:p>
      <w:pPr>
        <w:keepNext w:val="0"/>
        <w:keepLines w:val="0"/>
        <w:pageBreakBefore w:val="0"/>
        <w:widowControl w:val="0"/>
        <w:kinsoku/>
        <w:wordWrap/>
        <w:overflowPunct/>
        <w:topLinePunct w:val="0"/>
        <w:bidi w:val="0"/>
        <w:spacing w:line="56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9.强化宣传交流，全员参与活动。</w:t>
      </w:r>
      <w:r>
        <w:rPr>
          <w:rFonts w:hint="eastAsia" w:ascii="仿宋_GB2312" w:eastAsia="仿宋_GB2312"/>
          <w:sz w:val="32"/>
          <w:szCs w:val="32"/>
        </w:rPr>
        <w:sym w:font="Wingdings" w:char="F081"/>
      </w:r>
      <w:r>
        <w:rPr>
          <w:rFonts w:hint="eastAsia" w:ascii="仿宋_GB2312" w:eastAsia="仿宋_GB2312"/>
          <w:sz w:val="32"/>
          <w:szCs w:val="32"/>
        </w:rPr>
        <w:t>建立大练兵执法信息交流群，为市县两级环保部门开展大练兵活动提供一个交流的平台，市县两级积极互通活动信息，交流遇到的问题和先进经验；</w:t>
      </w:r>
      <w:r>
        <w:rPr>
          <w:rFonts w:hint="eastAsia" w:ascii="仿宋_GB2312" w:hAnsi="宋体" w:eastAsia="仿宋_GB2312" w:cs="宋体"/>
          <w:spacing w:val="-2"/>
          <w:sz w:val="32"/>
          <w:szCs w:val="32"/>
        </w:rPr>
        <w:t>加强信息报送工作，</w:t>
      </w:r>
      <w:r>
        <w:rPr>
          <w:rFonts w:hint="eastAsia" w:ascii="仿宋_GB2312" w:hAnsi="宋体" w:eastAsia="仿宋_GB2312" w:cs="宋体"/>
          <w:bCs/>
          <w:spacing w:val="-2"/>
          <w:sz w:val="32"/>
          <w:szCs w:val="32"/>
        </w:rPr>
        <w:t>落实信息</w:t>
      </w:r>
      <w:r>
        <w:rPr>
          <w:rFonts w:hint="eastAsia" w:ascii="仿宋_GB2312" w:hAnsi="宋体" w:eastAsia="仿宋_GB2312" w:cs="宋体"/>
          <w:spacing w:val="-2"/>
          <w:sz w:val="32"/>
          <w:szCs w:val="32"/>
        </w:rPr>
        <w:t>报送联络员机制，</w:t>
      </w:r>
      <w:r>
        <w:rPr>
          <w:rFonts w:hint="eastAsia" w:ascii="仿宋_GB2312" w:eastAsia="仿宋_GB2312"/>
          <w:sz w:val="32"/>
          <w:szCs w:val="32"/>
        </w:rPr>
        <w:t>大练兵活动开展以来，我市每月至少汇总编写2期大练兵活动工作简报，并向省环境监察总队报送，目前已编写和报送工作简报8期。</w:t>
      </w:r>
      <w:r>
        <w:rPr>
          <w:rFonts w:hint="eastAsia" w:ascii="仿宋_GB2312" w:eastAsia="仿宋_GB2312"/>
          <w:sz w:val="32"/>
          <w:szCs w:val="32"/>
        </w:rPr>
        <w:sym w:font="Wingdings" w:char="F082"/>
      </w:r>
      <w:r>
        <w:rPr>
          <w:rFonts w:hint="eastAsia" w:ascii="仿宋_GB2312" w:eastAsia="仿宋_GB2312"/>
          <w:sz w:val="32"/>
          <w:szCs w:val="32"/>
        </w:rPr>
        <w:t>通过“泉州环保”公众号、泉州市环保局官方网站，及时向社会公开大练兵活动的相关信息及执法典型案例。截至目前，我市已先后公布大练兵成果信息8条。</w:t>
      </w:r>
      <w:r>
        <w:rPr>
          <w:rFonts w:hint="eastAsia" w:ascii="仿宋_GB2312" w:eastAsia="仿宋_GB2312"/>
          <w:sz w:val="32"/>
          <w:szCs w:val="32"/>
        </w:rPr>
        <w:sym w:font="Wingdings" w:char="F083"/>
      </w:r>
      <w:r>
        <w:rPr>
          <w:rFonts w:hint="eastAsia" w:ascii="仿宋_GB2312" w:eastAsia="仿宋_GB2312"/>
          <w:sz w:val="32"/>
          <w:szCs w:val="32"/>
        </w:rPr>
        <w:t>加强与本地主流媒体的沟通协作，先后多次在东南早报、泉州晚报等报纸刊物上进行大练兵活动报道；此外，为进一步提升大练兵活动的影响力，泉州晚报于2018年9月30日对我市环境执法大练兵活动进行专版报道。④突出典型案例的收集和报送，不定期向省环保厅公众号、中国环境报等上级宣传媒体进行投稿。大练兵开展以来，我市先后有5篇大练兵活动报道被中国环境报刊登报道，4篇大练兵活动信息被“福建环保”采用。</w:t>
      </w:r>
    </w:p>
    <w:p>
      <w:pPr>
        <w:keepNext w:val="0"/>
        <w:keepLines w:val="0"/>
        <w:pageBreakBefore w:val="0"/>
        <w:widowControl w:val="0"/>
        <w:kinsoku/>
        <w:wordWrap/>
        <w:overflowPunct/>
        <w:topLinePunct w:val="0"/>
        <w:bidi w:val="0"/>
        <w:spacing w:line="56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10.积极选派业务骨干参与上级部门专项行动。先后从市县两级部门抽调70名人员，参加环保部开展“打击固体废物环境违法行为专项行动”以及蓝天保卫战重点区域强化督查</w:t>
      </w:r>
      <w:r>
        <w:rPr>
          <w:rFonts w:hint="eastAsia" w:ascii="仿宋_GB2312" w:hAnsi="宋体" w:eastAsia="仿宋_GB2312" w:cs="宋体"/>
          <w:sz w:val="32"/>
          <w:szCs w:val="32"/>
        </w:rPr>
        <w:t>等专项行动，主动与来自全国各地环保系统的优秀人员进行交流学习，积极吸取各地的先进经验和执法方式，在全市给予推广和使用。我市派出督查组参加</w:t>
      </w:r>
      <w:r>
        <w:rPr>
          <w:rFonts w:hint="eastAsia" w:ascii="仿宋_GB2312" w:eastAsia="仿宋_GB2312"/>
          <w:sz w:val="32"/>
          <w:szCs w:val="32"/>
        </w:rPr>
        <w:t>环保部开展的“打击固体废物环境违法行为专项行动”（简称“清废行动2018”）和“清废行动2018”核查“回头看”专项行动均获得生态环</w:t>
      </w:r>
      <w:r>
        <w:rPr>
          <w:rFonts w:hint="eastAsia" w:ascii="仿宋_GB2312" w:hAnsi="宋体" w:eastAsia="仿宋_GB2312" w:cs="宋体"/>
          <w:sz w:val="32"/>
          <w:szCs w:val="32"/>
        </w:rPr>
        <w:t>境部通报表扬；我局派员参加蓝天保卫战重点区域强化督查（第4轮次）荣获全国排名第三；我市参加2018年环境执法大练兵第一期竞赛比武</w:t>
      </w:r>
      <w:r>
        <w:rPr>
          <w:rFonts w:hint="eastAsia" w:ascii="仿宋_GB2312" w:eastAsia="仿宋_GB2312"/>
          <w:sz w:val="32"/>
          <w:szCs w:val="32"/>
        </w:rPr>
        <w:t>荣获全省集体排名第二、</w:t>
      </w:r>
      <w:r>
        <w:rPr>
          <w:rFonts w:hint="eastAsia" w:ascii="仿宋_GB2312" w:hAnsi="宋体" w:eastAsia="仿宋_GB2312" w:cs="宋体"/>
          <w:sz w:val="32"/>
          <w:szCs w:val="32"/>
        </w:rPr>
        <w:t>第二期竞赛比武</w:t>
      </w:r>
      <w:r>
        <w:rPr>
          <w:rFonts w:hint="eastAsia" w:ascii="仿宋_GB2312" w:eastAsia="仿宋_GB2312"/>
          <w:sz w:val="32"/>
          <w:szCs w:val="32"/>
        </w:rPr>
        <w:t>荣获全省集体排名第一；</w:t>
      </w:r>
    </w:p>
    <w:p>
      <w:pPr>
        <w:keepNext w:val="0"/>
        <w:keepLines w:val="0"/>
        <w:pageBreakBefore w:val="0"/>
        <w:widowControl w:val="0"/>
        <w:kinsoku/>
        <w:wordWrap/>
        <w:overflowPunct/>
        <w:topLinePunct w:val="0"/>
        <w:bidi w:val="0"/>
        <w:spacing w:line="560" w:lineRule="exact"/>
        <w:ind w:firstLine="640" w:firstLineChars="200"/>
        <w:textAlignment w:val="auto"/>
        <w:outlineLvl w:val="9"/>
        <w:rPr>
          <w:rFonts w:hint="eastAsia" w:ascii="仿宋_GB2312" w:eastAsia="仿宋_GB2312"/>
          <w:sz w:val="32"/>
          <w:szCs w:val="32"/>
        </w:rPr>
      </w:pPr>
      <w:r>
        <w:rPr>
          <w:rFonts w:hint="eastAsia" w:ascii="仿宋_GB2312" w:hAnsi="宋体" w:eastAsia="仿宋_GB2312" w:cs="宋体"/>
          <w:sz w:val="32"/>
          <w:szCs w:val="32"/>
        </w:rPr>
        <w:t>11.加强环保宣传，提高企业环保意识。面</w:t>
      </w:r>
      <w:r>
        <w:rPr>
          <w:rFonts w:hint="eastAsia" w:ascii="仿宋_GB2312" w:eastAsia="仿宋_GB2312"/>
          <w:sz w:val="32"/>
          <w:szCs w:val="32"/>
        </w:rPr>
        <w:t>向全市逾300家重点排污单位的企业法人或其分管环保负责人举办六期企业环保法制培训班，邀请市打击环境污染联席会议成员单位和省内环保相关领域的权威专家授课，服务、指导企业做好环保工作，以案释法，帮助企业了解国家最新生态环境保护政策和法律法规，促使企业主动承担环保主体责任，自觉提高污染防治水平；</w:t>
      </w:r>
    </w:p>
    <w:p>
      <w:pPr>
        <w:keepNext w:val="0"/>
        <w:keepLines w:val="0"/>
        <w:pageBreakBefore w:val="0"/>
        <w:widowControl w:val="0"/>
        <w:kinsoku/>
        <w:wordWrap/>
        <w:overflowPunct/>
        <w:topLinePunct w:val="0"/>
        <w:bidi w:val="0"/>
        <w:spacing w:line="56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12.推进信息公开工作,提高环保工作透明度。严格按规定时限在局门户网站公开重点污染源环境信息，共公开</w:t>
      </w:r>
      <w:r>
        <w:rPr>
          <w:rFonts w:hint="eastAsia" w:ascii="仿宋_GB2312" w:eastAsia="仿宋_GB2312"/>
          <w:sz w:val="32"/>
          <w:szCs w:val="32"/>
          <w:lang w:val="en-US" w:eastAsia="zh-CN"/>
        </w:rPr>
        <w:t>158</w:t>
      </w:r>
      <w:r>
        <w:rPr>
          <w:rFonts w:hint="eastAsia" w:ascii="仿宋_GB2312" w:eastAsia="仿宋_GB2312"/>
          <w:sz w:val="32"/>
          <w:szCs w:val="32"/>
        </w:rPr>
        <w:t>家；及时在我局门户网站公开案件办理情况，今年来已公开办理案件1</w:t>
      </w:r>
      <w:r>
        <w:rPr>
          <w:rFonts w:hint="eastAsia" w:ascii="仿宋_GB2312" w:eastAsia="仿宋_GB2312"/>
          <w:sz w:val="32"/>
          <w:szCs w:val="32"/>
          <w:lang w:val="en-US" w:eastAsia="zh-CN"/>
        </w:rPr>
        <w:t>8</w:t>
      </w:r>
      <w:r>
        <w:rPr>
          <w:rFonts w:hint="eastAsia" w:ascii="仿宋_GB2312" w:eastAsia="仿宋_GB2312"/>
          <w:sz w:val="32"/>
          <w:szCs w:val="32"/>
        </w:rPr>
        <w:t>家；按照“双随机一公开”工作要求,按规定及时公开每季度“双随机”检查情况，现已公开</w:t>
      </w:r>
      <w:r>
        <w:rPr>
          <w:rFonts w:hint="eastAsia" w:ascii="仿宋_GB2312" w:eastAsia="仿宋_GB2312"/>
          <w:sz w:val="32"/>
          <w:szCs w:val="32"/>
          <w:lang w:eastAsia="zh-CN"/>
        </w:rPr>
        <w:t>第一季度至第三季度</w:t>
      </w:r>
      <w:r>
        <w:rPr>
          <w:rFonts w:hint="eastAsia" w:ascii="仿宋_GB2312" w:eastAsia="仿宋_GB2312"/>
          <w:sz w:val="32"/>
          <w:szCs w:val="32"/>
        </w:rPr>
        <w:t>“双随机”检查情况。</w:t>
      </w:r>
    </w:p>
    <w:p>
      <w:pPr>
        <w:keepNext w:val="0"/>
        <w:keepLines w:val="0"/>
        <w:pageBreakBefore w:val="0"/>
        <w:widowControl w:val="0"/>
        <w:kinsoku/>
        <w:wordWrap/>
        <w:overflowPunct/>
        <w:topLinePunct w:val="0"/>
        <w:bidi w:val="0"/>
        <w:spacing w:line="560" w:lineRule="exact"/>
        <w:ind w:firstLine="640" w:firstLineChars="200"/>
        <w:textAlignment w:val="auto"/>
        <w:outlineLvl w:val="9"/>
        <w:rPr>
          <w:rFonts w:ascii="黑体" w:hAnsi="黑体" w:eastAsia="黑体" w:cs="黑体"/>
          <w:bCs/>
          <w:sz w:val="32"/>
          <w:szCs w:val="32"/>
          <w:shd w:val="clear" w:color="auto" w:fill="FFFFFF"/>
        </w:rPr>
      </w:pPr>
      <w:r>
        <w:rPr>
          <w:rFonts w:hint="eastAsia" w:ascii="黑体" w:hAnsi="黑体" w:eastAsia="黑体" w:cs="黑体"/>
          <w:bCs/>
          <w:sz w:val="32"/>
          <w:szCs w:val="32"/>
          <w:shd w:val="clear" w:color="auto" w:fill="FFFFFF"/>
        </w:rPr>
        <w:t>三、重点案件办理情况</w:t>
      </w:r>
    </w:p>
    <w:p>
      <w:pPr>
        <w:keepNext w:val="0"/>
        <w:keepLines w:val="0"/>
        <w:pageBreakBefore w:val="0"/>
        <w:widowControl w:val="0"/>
        <w:kinsoku/>
        <w:wordWrap/>
        <w:overflowPunct/>
        <w:topLinePunct w:val="0"/>
        <w:bidi w:val="0"/>
        <w:spacing w:line="560" w:lineRule="exact"/>
        <w:ind w:firstLine="640" w:firstLineChars="200"/>
        <w:textAlignment w:val="auto"/>
        <w:outlineLvl w:val="9"/>
        <w:rPr>
          <w:rFonts w:hint="eastAsia" w:ascii="仿宋_GB2312" w:eastAsia="仿宋_GB2312"/>
          <w:color w:val="FF0000"/>
          <w:sz w:val="32"/>
          <w:szCs w:val="32"/>
        </w:rPr>
      </w:pPr>
      <w:r>
        <w:rPr>
          <w:rFonts w:hint="eastAsia" w:ascii="仿宋_GB2312" w:eastAsia="仿宋_GB2312"/>
          <w:sz w:val="32"/>
          <w:szCs w:val="32"/>
        </w:rPr>
        <w:t>我市高度违反两高司法解释和四个配套办法重点案件的查办力度，坚持公、检、法、环保四部门联席会以及“快取证、快移送、快审理、快判决”工作机制，有力提升环境行政处罚案件的办理效率，在重点案件办理上取得了优异的成绩，据统计，2018年1-</w:t>
      </w:r>
      <w:r>
        <w:rPr>
          <w:rFonts w:hint="eastAsia" w:ascii="仿宋_GB2312" w:eastAsia="仿宋_GB2312"/>
          <w:sz w:val="32"/>
          <w:szCs w:val="32"/>
          <w:lang w:val="en-US" w:eastAsia="zh-CN"/>
        </w:rPr>
        <w:t>11</w:t>
      </w:r>
      <w:r>
        <w:rPr>
          <w:rFonts w:hint="eastAsia" w:ascii="仿宋_GB2312" w:eastAsia="仿宋_GB2312"/>
          <w:sz w:val="32"/>
          <w:szCs w:val="32"/>
        </w:rPr>
        <w:t>月</w:t>
      </w:r>
      <w:r>
        <w:rPr>
          <w:rFonts w:hint="eastAsia" w:ascii="仿宋_GB2312" w:eastAsia="仿宋_GB2312"/>
          <w:sz w:val="32"/>
          <w:szCs w:val="32"/>
          <w:lang w:val="en-US" w:eastAsia="zh-CN"/>
        </w:rPr>
        <w:t>25日</w:t>
      </w:r>
      <w:r>
        <w:rPr>
          <w:rFonts w:hint="eastAsia" w:ascii="仿宋_GB2312" w:eastAsia="仿宋_GB2312"/>
          <w:sz w:val="32"/>
          <w:szCs w:val="32"/>
        </w:rPr>
        <w:t>，全市各级环保部门充分运用新环保法赋予的新手段查处环境违法行为、排查案源和典型事例，查办重大案件</w:t>
      </w:r>
      <w:r>
        <w:rPr>
          <w:rFonts w:hint="eastAsia" w:ascii="仿宋_GB2312" w:eastAsia="仿宋_GB2312"/>
          <w:sz w:val="32"/>
          <w:szCs w:val="32"/>
          <w:lang w:val="en-US" w:eastAsia="zh-CN"/>
        </w:rPr>
        <w:t>508</w:t>
      </w:r>
      <w:r>
        <w:rPr>
          <w:rFonts w:hint="eastAsia" w:ascii="仿宋_GB2312" w:eastAsia="仿宋_GB2312"/>
          <w:sz w:val="32"/>
          <w:szCs w:val="32"/>
        </w:rPr>
        <w:t>起，位居全省第一。其中，按日计罚1起，限产、停产1</w:t>
      </w:r>
      <w:r>
        <w:rPr>
          <w:rFonts w:hint="eastAsia" w:ascii="仿宋_GB2312" w:eastAsia="仿宋_GB2312"/>
          <w:sz w:val="32"/>
          <w:szCs w:val="32"/>
          <w:lang w:val="en-US" w:eastAsia="zh-CN"/>
        </w:rPr>
        <w:t>4</w:t>
      </w:r>
      <w:r>
        <w:rPr>
          <w:rFonts w:hint="eastAsia" w:ascii="仿宋_GB2312" w:eastAsia="仿宋_GB2312"/>
          <w:sz w:val="32"/>
          <w:szCs w:val="32"/>
        </w:rPr>
        <w:t>起，查封、扣押案件</w:t>
      </w:r>
      <w:r>
        <w:rPr>
          <w:rFonts w:hint="eastAsia" w:ascii="仿宋_GB2312" w:eastAsia="仿宋_GB2312"/>
          <w:sz w:val="32"/>
          <w:szCs w:val="32"/>
          <w:lang w:val="en-US" w:eastAsia="zh-CN"/>
        </w:rPr>
        <w:t>350</w:t>
      </w:r>
      <w:r>
        <w:rPr>
          <w:rFonts w:hint="eastAsia" w:ascii="仿宋_GB2312" w:eastAsia="仿宋_GB2312"/>
          <w:sz w:val="32"/>
          <w:szCs w:val="32"/>
        </w:rPr>
        <w:t>起，移送侦办案件1</w:t>
      </w:r>
      <w:r>
        <w:rPr>
          <w:rFonts w:hint="eastAsia" w:ascii="仿宋_GB2312" w:eastAsia="仿宋_GB2312"/>
          <w:sz w:val="32"/>
          <w:szCs w:val="32"/>
          <w:lang w:val="en-US" w:eastAsia="zh-CN"/>
        </w:rPr>
        <w:t>43</w:t>
      </w:r>
      <w:r>
        <w:rPr>
          <w:rFonts w:hint="eastAsia" w:ascii="仿宋_GB2312" w:eastAsia="仿宋_GB2312"/>
          <w:sz w:val="32"/>
          <w:szCs w:val="32"/>
        </w:rPr>
        <w:t>起（其中，行政拘留案件1</w:t>
      </w:r>
      <w:r>
        <w:rPr>
          <w:rFonts w:hint="eastAsia" w:ascii="仿宋_GB2312" w:eastAsia="仿宋_GB2312"/>
          <w:sz w:val="32"/>
          <w:szCs w:val="32"/>
          <w:lang w:val="en-US" w:eastAsia="zh-CN"/>
        </w:rPr>
        <w:t>24</w:t>
      </w:r>
      <w:r>
        <w:rPr>
          <w:rFonts w:hint="eastAsia" w:ascii="仿宋_GB2312" w:eastAsia="仿宋_GB2312"/>
          <w:sz w:val="32"/>
          <w:szCs w:val="32"/>
        </w:rPr>
        <w:t>起、涉嫌环境犯罪案件1</w:t>
      </w:r>
      <w:r>
        <w:rPr>
          <w:rFonts w:hint="eastAsia" w:ascii="仿宋_GB2312" w:eastAsia="仿宋_GB2312"/>
          <w:sz w:val="32"/>
          <w:szCs w:val="32"/>
          <w:lang w:val="en-US" w:eastAsia="zh-CN"/>
        </w:rPr>
        <w:t>9</w:t>
      </w:r>
      <w:r>
        <w:rPr>
          <w:rFonts w:hint="eastAsia" w:ascii="仿宋_GB2312" w:eastAsia="仿宋_GB2312"/>
          <w:sz w:val="32"/>
          <w:szCs w:val="32"/>
        </w:rPr>
        <w:t>起）。</w:t>
      </w:r>
    </w:p>
    <w:p>
      <w:pPr>
        <w:keepNext w:val="0"/>
        <w:keepLines w:val="0"/>
        <w:pageBreakBefore w:val="0"/>
        <w:widowControl w:val="0"/>
        <w:kinsoku/>
        <w:wordWrap/>
        <w:overflowPunct/>
        <w:topLinePunct w:val="0"/>
        <w:bidi w:val="0"/>
        <w:spacing w:line="560" w:lineRule="exact"/>
        <w:ind w:firstLine="640" w:firstLineChars="200"/>
        <w:textAlignment w:val="auto"/>
        <w:outlineLvl w:val="9"/>
        <w:rPr>
          <w:rFonts w:ascii="仿宋_GB2312" w:eastAsia="仿宋_GB2312"/>
          <w:color w:val="FF0000"/>
          <w:sz w:val="32"/>
          <w:szCs w:val="32"/>
        </w:rPr>
      </w:pPr>
    </w:p>
    <w:p>
      <w:pPr>
        <w:keepNext w:val="0"/>
        <w:keepLines w:val="0"/>
        <w:pageBreakBefore w:val="0"/>
        <w:widowControl w:val="0"/>
        <w:kinsoku/>
        <w:wordWrap/>
        <w:overflowPunct/>
        <w:topLinePunct w:val="0"/>
        <w:autoSpaceDN w:val="0"/>
        <w:bidi w:val="0"/>
        <w:spacing w:line="560" w:lineRule="exact"/>
        <w:jc w:val="center"/>
        <w:textAlignment w:val="auto"/>
        <w:outlineLvl w:val="9"/>
        <w:rPr>
          <w:rFonts w:ascii="华文中宋" w:hAnsi="华文中宋" w:eastAsia="华文中宋" w:cs="华文中宋"/>
          <w:b/>
          <w:bCs/>
          <w:sz w:val="36"/>
          <w:szCs w:val="36"/>
        </w:rPr>
      </w:pPr>
      <w:r>
        <w:rPr>
          <w:rFonts w:hint="eastAsia" w:ascii="华文中宋" w:hAnsi="华文中宋" w:eastAsia="华文中宋" w:cs="华文中宋"/>
          <w:b/>
          <w:bCs/>
          <w:sz w:val="36"/>
          <w:szCs w:val="36"/>
        </w:rPr>
        <w:t>巧用示踪法追查排污去向，让非法排污无所遁形</w:t>
      </w:r>
    </w:p>
    <w:p>
      <w:pPr>
        <w:keepNext w:val="0"/>
        <w:keepLines w:val="0"/>
        <w:pageBreakBefore w:val="0"/>
        <w:widowControl w:val="0"/>
        <w:kinsoku/>
        <w:wordWrap/>
        <w:overflowPunct/>
        <w:topLinePunct w:val="0"/>
        <w:autoSpaceDN w:val="0"/>
        <w:bidi w:val="0"/>
        <w:spacing w:line="560" w:lineRule="exact"/>
        <w:jc w:val="center"/>
        <w:textAlignment w:val="auto"/>
        <w:outlineLvl w:val="9"/>
        <w:rPr>
          <w:rFonts w:eastAsia="楷体_GB2312" w:cs="楷体_GB2312"/>
          <w:sz w:val="28"/>
          <w:szCs w:val="28"/>
        </w:rPr>
      </w:pPr>
      <w:r>
        <w:rPr>
          <w:rFonts w:hint="eastAsia" w:ascii="华文中宋" w:hAnsi="华文中宋" w:eastAsia="华文中宋" w:cs="华文中宋"/>
          <w:b/>
          <w:bCs/>
          <w:sz w:val="36"/>
          <w:szCs w:val="36"/>
        </w:rPr>
        <w:t>——</w:t>
      </w:r>
      <w:r>
        <w:rPr>
          <w:rFonts w:hint="eastAsia" w:eastAsia="楷体_GB2312" w:cs="楷体_GB2312"/>
          <w:sz w:val="28"/>
          <w:szCs w:val="28"/>
        </w:rPr>
        <w:t>比阳（泉州）轻工有限公司逃避监管排放水污染物环境违法案</w:t>
      </w:r>
    </w:p>
    <w:p>
      <w:pPr>
        <w:keepNext w:val="0"/>
        <w:keepLines w:val="0"/>
        <w:pageBreakBefore w:val="0"/>
        <w:widowControl w:val="0"/>
        <w:kinsoku/>
        <w:wordWrap/>
        <w:overflowPunct/>
        <w:topLinePunct w:val="0"/>
        <w:autoSpaceDN w:val="0"/>
        <w:bidi w:val="0"/>
        <w:adjustRightInd w:val="0"/>
        <w:snapToGrid w:val="0"/>
        <w:spacing w:line="560" w:lineRule="exact"/>
        <w:ind w:firstLine="640"/>
        <w:textAlignment w:val="auto"/>
        <w:outlineLvl w:val="9"/>
        <w:rPr>
          <w:rFonts w:ascii="黑体" w:hAnsi="Times New Roman" w:eastAsia="黑体" w:cs="Times New Roman"/>
          <w:color w:val="000000"/>
          <w:kern w:val="0"/>
          <w:sz w:val="32"/>
          <w:szCs w:val="32"/>
        </w:rPr>
      </w:pPr>
      <w:r>
        <w:rPr>
          <w:rFonts w:hint="eastAsia" w:ascii="黑体" w:hAnsi="Times New Roman" w:eastAsia="黑体" w:cs="黑体"/>
          <w:color w:val="000000"/>
          <w:kern w:val="0"/>
          <w:sz w:val="32"/>
          <w:szCs w:val="32"/>
        </w:rPr>
        <w:t>一、案情简介</w:t>
      </w:r>
    </w:p>
    <w:p>
      <w:pPr>
        <w:keepNext w:val="0"/>
        <w:keepLines w:val="0"/>
        <w:pageBreakBefore w:val="0"/>
        <w:widowControl w:val="0"/>
        <w:kinsoku/>
        <w:wordWrap/>
        <w:overflowPunct/>
        <w:topLinePunct w:val="0"/>
        <w:autoSpaceDE w:val="0"/>
        <w:autoSpaceDN w:val="0"/>
        <w:bidi w:val="0"/>
        <w:adjustRightInd w:val="0"/>
        <w:spacing w:line="560" w:lineRule="exact"/>
        <w:ind w:firstLine="720" w:firstLineChars="225"/>
        <w:jc w:val="left"/>
        <w:textAlignment w:val="auto"/>
        <w:outlineLvl w:val="9"/>
        <w:rPr>
          <w:rFonts w:ascii="仿宋_GB2312" w:eastAsia="仿宋_GB2312" w:cs="仿宋_GB2312"/>
          <w:bCs/>
          <w:sz w:val="32"/>
          <w:szCs w:val="32"/>
        </w:rPr>
      </w:pPr>
      <w:r>
        <w:rPr>
          <w:rFonts w:hint="eastAsia" w:ascii="仿宋_GB2312" w:eastAsia="仿宋_GB2312" w:cs="仿宋_GB2312"/>
          <w:bCs/>
          <w:sz w:val="32"/>
          <w:szCs w:val="32"/>
        </w:rPr>
        <w:t>2018年3月13日，泉州市环境保护局对当事人比阳（泉州）轻工有限公司现场检查时发现，当事人洗坯废水（呈碱性）收集沟有一缺口，废水通过缺口正在排往洗坯车间外一不明窨井1#。执法人员询问当事人现场负责人该窨井内废水排放去向，现场负责人称该窨井通往地埋式沉淀池沉淀处理。执法人员发现窨井1#内废水表观特征与地埋式沉淀池内废水有较大差异，且窨井1#往地埋式沉淀池方向未见来水。于是对窨井1#周边进行仔细勘察，发现窨井1#与地埋式沉淀池之间有另一不明窨井2#，打开窨井2#发现窨井底部有疑似洗坯残渣，井内废水用pH试纸检测呈强碱性，窨井2#内废水流向用肉眼观察不明，执法人员打开了周边的窨井3#、窨井4#井盖，井内废水pH均呈强碱性。为进一步锁定排污方向，在对洗坯车间外排口、窨井1#、窨井3#、窨井4#等各采取水样后，执法人员采用示踪法，于10:58在当事人现场负责人的陪同下将6瓶48ml的红墨水倒入洗坯车间外排口，10:59窨井1#出现红色水体，11:06窨井2#出现红色水体，11:15窨井3#出现红色水体，11:54窨井4#出现红色水体，13:06窨井4#红色水体已基本排出。窨井4#紧邻厂区北侧围墙内侧，井内废水排往泉州开发区污水管网。</w:t>
      </w:r>
    </w:p>
    <w:p>
      <w:pPr>
        <w:keepNext w:val="0"/>
        <w:keepLines w:val="0"/>
        <w:pageBreakBefore w:val="0"/>
        <w:widowControl w:val="0"/>
        <w:kinsoku/>
        <w:wordWrap/>
        <w:overflowPunct/>
        <w:topLinePunct w:val="0"/>
        <w:autoSpaceDE w:val="0"/>
        <w:autoSpaceDN w:val="0"/>
        <w:bidi w:val="0"/>
        <w:adjustRightInd w:val="0"/>
        <w:spacing w:line="560" w:lineRule="exact"/>
        <w:ind w:firstLine="720" w:firstLineChars="225"/>
        <w:jc w:val="left"/>
        <w:textAlignment w:val="auto"/>
        <w:outlineLvl w:val="9"/>
        <w:rPr>
          <w:rFonts w:ascii="仿宋_GB2312" w:eastAsia="仿宋_GB2312" w:cs="仿宋_GB2312"/>
          <w:bCs/>
          <w:sz w:val="32"/>
          <w:szCs w:val="32"/>
        </w:rPr>
      </w:pPr>
      <w:r>
        <w:rPr>
          <w:rFonts w:hint="eastAsia" w:ascii="仿宋_GB2312" w:eastAsia="仿宋_GB2312" w:cs="仿宋_GB2312"/>
          <w:bCs/>
          <w:sz w:val="32"/>
          <w:szCs w:val="32"/>
        </w:rPr>
        <w:t>示踪结果显示当事人洗坯车间生产废水未经沉淀池沉淀，直接由洗坯废水收集沟进入厂区内雨水管道，排往泉州开发区污水管网。</w:t>
      </w:r>
    </w:p>
    <w:p>
      <w:pPr>
        <w:keepNext w:val="0"/>
        <w:keepLines w:val="0"/>
        <w:pageBreakBefore w:val="0"/>
        <w:widowControl w:val="0"/>
        <w:kinsoku/>
        <w:wordWrap/>
        <w:overflowPunct/>
        <w:topLinePunct w:val="0"/>
        <w:autoSpaceDE w:val="0"/>
        <w:autoSpaceDN w:val="0"/>
        <w:bidi w:val="0"/>
        <w:adjustRightInd w:val="0"/>
        <w:spacing w:line="560" w:lineRule="exact"/>
        <w:ind w:firstLine="720" w:firstLineChars="225"/>
        <w:jc w:val="left"/>
        <w:textAlignment w:val="auto"/>
        <w:outlineLvl w:val="9"/>
        <w:rPr>
          <w:rFonts w:ascii="仿宋_GB2312" w:eastAsia="仿宋_GB2312" w:cs="仿宋_GB2312"/>
          <w:bCs/>
          <w:sz w:val="32"/>
          <w:szCs w:val="32"/>
        </w:rPr>
      </w:pPr>
      <w:r>
        <w:rPr>
          <w:rFonts w:hint="eastAsia" w:ascii="仿宋_GB2312" w:eastAsia="仿宋_GB2312" w:cs="仿宋_GB2312"/>
          <w:bCs/>
          <w:sz w:val="32"/>
          <w:szCs w:val="32"/>
        </w:rPr>
        <w:t>根据泉州市环境监测站监测报告(泉环站督〔2018〕水41号)显示，当事人窨井4#水样CODcr浓度151mg/L，NH3-N浓度0.235mg/L,pH10.48，其中pH超过GB8978-1996《污水综合排放标准》表4三级标准限值（pH为6~9之间）。</w:t>
      </w:r>
    </w:p>
    <w:p>
      <w:pPr>
        <w:keepNext w:val="0"/>
        <w:keepLines w:val="0"/>
        <w:pageBreakBefore w:val="0"/>
        <w:widowControl w:val="0"/>
        <w:kinsoku/>
        <w:wordWrap/>
        <w:overflowPunct/>
        <w:topLinePunct w:val="0"/>
        <w:autoSpaceDN w:val="0"/>
        <w:bidi w:val="0"/>
        <w:adjustRightInd w:val="0"/>
        <w:snapToGrid w:val="0"/>
        <w:spacing w:line="560" w:lineRule="exact"/>
        <w:ind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二、查处情况</w:t>
      </w:r>
    </w:p>
    <w:p>
      <w:pPr>
        <w:keepNext w:val="0"/>
        <w:keepLines w:val="0"/>
        <w:pageBreakBefore w:val="0"/>
        <w:widowControl w:val="0"/>
        <w:kinsoku/>
        <w:wordWrap/>
        <w:overflowPunct/>
        <w:topLinePunct w:val="0"/>
        <w:autoSpaceDN w:val="0"/>
        <w:bidi w:val="0"/>
        <w:adjustRightInd w:val="0"/>
        <w:snapToGrid w:val="0"/>
        <w:spacing w:line="560" w:lineRule="exact"/>
        <w:ind w:firstLine="640" w:firstLineChars="200"/>
        <w:textAlignment w:val="auto"/>
        <w:outlineLvl w:val="9"/>
        <w:rPr>
          <w:rFonts w:ascii="仿宋_GB2312" w:eastAsia="仿宋_GB2312" w:cs="仿宋_GB2312"/>
          <w:bCs/>
          <w:sz w:val="32"/>
          <w:szCs w:val="32"/>
        </w:rPr>
      </w:pPr>
      <w:r>
        <w:rPr>
          <w:rFonts w:hint="eastAsia" w:ascii="楷体_GB2312" w:hAnsi="楷体_GB2312" w:eastAsia="楷体_GB2312" w:cs="楷体_GB2312"/>
          <w:b w:val="0"/>
          <w:bCs w:val="0"/>
          <w:sz w:val="32"/>
          <w:szCs w:val="32"/>
        </w:rPr>
        <w:t>1.行政处罚。</w:t>
      </w:r>
      <w:r>
        <w:rPr>
          <w:rFonts w:hint="eastAsia" w:ascii="仿宋_GB2312" w:eastAsia="仿宋_GB2312" w:cs="仿宋_GB2312"/>
          <w:bCs/>
          <w:sz w:val="32"/>
          <w:szCs w:val="32"/>
        </w:rPr>
        <w:t>当事人的行为涉嫌违反《中华人民共和国水污染防治法》第三十九条 “禁止利用渗井、渗坑、裂隙、溶洞，私设暗管，篡改、伪造监测数据，或者不正常运行水污染防治设施等逃避监管的方式排放水污染物。”根据《中华人民共和国水污染防治法》第八十三条第（三）项处罚，鉴于当事人外排废水超标幅度较小，建议按对应处罚幅度细化标准的下限处罚，罚款10万元，责令立即改正违法行为。</w:t>
      </w:r>
    </w:p>
    <w:p>
      <w:pPr>
        <w:keepNext w:val="0"/>
        <w:keepLines w:val="0"/>
        <w:pageBreakBefore w:val="0"/>
        <w:widowControl w:val="0"/>
        <w:kinsoku/>
        <w:wordWrap/>
        <w:overflowPunct/>
        <w:topLinePunct w:val="0"/>
        <w:autoSpaceDN w:val="0"/>
        <w:bidi w:val="0"/>
        <w:adjustRightInd w:val="0"/>
        <w:snapToGrid w:val="0"/>
        <w:spacing w:line="560" w:lineRule="exact"/>
        <w:ind w:firstLine="640" w:firstLineChars="200"/>
        <w:textAlignment w:val="auto"/>
        <w:outlineLvl w:val="9"/>
        <w:rPr>
          <w:rFonts w:ascii="仿宋_GB2312" w:eastAsia="仿宋_GB2312" w:cs="仿宋_GB2312"/>
          <w:bCs/>
          <w:sz w:val="32"/>
          <w:szCs w:val="32"/>
        </w:rPr>
      </w:pPr>
      <w:r>
        <w:rPr>
          <w:rFonts w:hint="eastAsia" w:ascii="楷体_GB2312" w:hAnsi="楷体_GB2312" w:eastAsia="楷体_GB2312" w:cs="楷体_GB2312"/>
          <w:b w:val="0"/>
          <w:bCs w:val="0"/>
          <w:sz w:val="32"/>
          <w:szCs w:val="32"/>
        </w:rPr>
        <w:t>2.移送公安机关处理。</w:t>
      </w:r>
      <w:r>
        <w:rPr>
          <w:rFonts w:hint="eastAsia" w:ascii="仿宋_GB2312" w:eastAsia="仿宋_GB2312" w:cs="仿宋_GB2312"/>
          <w:bCs/>
          <w:sz w:val="32"/>
          <w:szCs w:val="32"/>
        </w:rPr>
        <w:t>当事人存在逃避监管方式排放水污染物环境违法行为，根据《中华人民共和国环境保护法》第六十三条第（三）项之规定，移送泉州开发区公安分局侦办，2018年5月17日泉州开发区公安分局已受理此案，受案号泉公开（治安）受案字﹝</w:t>
      </w:r>
      <w:r>
        <w:rPr>
          <w:rFonts w:ascii="仿宋_GB2312" w:eastAsia="仿宋_GB2312" w:cs="仿宋_GB2312"/>
          <w:bCs/>
          <w:sz w:val="32"/>
          <w:szCs w:val="32"/>
        </w:rPr>
        <w:t>2018</w:t>
      </w:r>
      <w:r>
        <w:rPr>
          <w:rFonts w:hint="eastAsia" w:ascii="仿宋_GB2312" w:eastAsia="仿宋_GB2312" w:cs="仿宋_GB2312"/>
          <w:bCs/>
          <w:sz w:val="32"/>
          <w:szCs w:val="32"/>
        </w:rPr>
        <w:t>﹞00061号，2018年7月16日泉州开发区公安分局作出行政处罚决定，对主要责任人作出行政拘留5日的决定，决定书文号泉公开（治安）行政决字﹝</w:t>
      </w:r>
      <w:r>
        <w:rPr>
          <w:rFonts w:ascii="仿宋_GB2312" w:eastAsia="仿宋_GB2312" w:cs="仿宋_GB2312"/>
          <w:bCs/>
          <w:sz w:val="32"/>
          <w:szCs w:val="32"/>
        </w:rPr>
        <w:t>2018</w:t>
      </w:r>
      <w:r>
        <w:rPr>
          <w:rFonts w:hint="eastAsia" w:ascii="仿宋_GB2312" w:eastAsia="仿宋_GB2312" w:cs="仿宋_GB2312"/>
          <w:bCs/>
          <w:sz w:val="32"/>
          <w:szCs w:val="32"/>
        </w:rPr>
        <w:t>﹞00044号。</w:t>
      </w:r>
    </w:p>
    <w:p>
      <w:pPr>
        <w:keepNext w:val="0"/>
        <w:keepLines w:val="0"/>
        <w:pageBreakBefore w:val="0"/>
        <w:widowControl w:val="0"/>
        <w:kinsoku/>
        <w:wordWrap/>
        <w:overflowPunct/>
        <w:topLinePunct w:val="0"/>
        <w:autoSpaceDE/>
        <w:autoSpaceDN w:val="0"/>
        <w:bidi w:val="0"/>
        <w:adjustRightInd w:val="0"/>
        <w:snapToGrid w:val="0"/>
        <w:spacing w:line="560" w:lineRule="exact"/>
        <w:ind w:firstLine="640" w:firstLineChars="200"/>
        <w:textAlignment w:val="auto"/>
        <w:outlineLvl w:val="9"/>
        <w:rPr>
          <w:rFonts w:ascii="仿宋_GB2312" w:eastAsia="仿宋_GB2312" w:cs="仿宋_GB2312"/>
          <w:bCs/>
          <w:sz w:val="32"/>
          <w:szCs w:val="32"/>
        </w:rPr>
      </w:pPr>
      <w:r>
        <w:rPr>
          <w:rFonts w:hint="eastAsia" w:ascii="黑体" w:hAnsi="Times New Roman" w:eastAsia="黑体" w:cs="黑体"/>
          <w:color w:val="000000"/>
          <w:kern w:val="0"/>
          <w:sz w:val="32"/>
          <w:szCs w:val="32"/>
        </w:rPr>
        <w:t>三、案件启示</w:t>
      </w:r>
    </w:p>
    <w:p>
      <w:pPr>
        <w:keepNext w:val="0"/>
        <w:keepLines w:val="0"/>
        <w:pageBreakBefore w:val="0"/>
        <w:widowControl w:val="0"/>
        <w:kinsoku/>
        <w:wordWrap/>
        <w:overflowPunct/>
        <w:topLinePunct w:val="0"/>
        <w:autoSpaceDE/>
        <w:autoSpaceDN w:val="0"/>
        <w:bidi w:val="0"/>
        <w:adjustRightInd w:val="0"/>
        <w:snapToGrid w:val="0"/>
        <w:spacing w:line="560" w:lineRule="exact"/>
        <w:ind w:firstLine="640" w:firstLineChars="200"/>
        <w:textAlignment w:val="auto"/>
        <w:outlineLvl w:val="9"/>
        <w:rPr>
          <w:rFonts w:ascii="仿宋_GB2312" w:eastAsia="仿宋_GB2312" w:cs="仿宋_GB2312"/>
          <w:sz w:val="32"/>
          <w:szCs w:val="32"/>
        </w:rPr>
      </w:pPr>
      <w:r>
        <w:rPr>
          <w:rFonts w:hint="eastAsia" w:ascii="楷体_GB2312" w:hAnsi="楷体_GB2312" w:eastAsia="楷体_GB2312" w:cs="楷体_GB2312"/>
          <w:b w:val="0"/>
          <w:bCs w:val="0"/>
          <w:sz w:val="32"/>
          <w:szCs w:val="32"/>
        </w:rPr>
        <w:t>1、大胆怀疑，小心求证。</w:t>
      </w:r>
      <w:r>
        <w:rPr>
          <w:rFonts w:hint="eastAsia" w:ascii="仿宋_GB2312" w:eastAsia="仿宋_GB2312" w:cs="仿宋_GB2312"/>
          <w:sz w:val="32"/>
          <w:szCs w:val="32"/>
        </w:rPr>
        <w:t>众所周知，私设暗管排污隐蔽性强，非法排污者口供真假难辨。因此调查取证过程中要大胆推测小心求证。执法过程中要用辩证的眼光去观察企业主的反应，结合现场情况仔细分析，不可过于听信企业的片面之词，阻碍环境违法行为的查处。</w:t>
      </w:r>
    </w:p>
    <w:p>
      <w:pPr>
        <w:keepNext w:val="0"/>
        <w:keepLines w:val="0"/>
        <w:pageBreakBefore w:val="0"/>
        <w:widowControl w:val="0"/>
        <w:kinsoku/>
        <w:wordWrap/>
        <w:overflowPunct/>
        <w:topLinePunct w:val="0"/>
        <w:autoSpaceDE/>
        <w:autoSpaceDN w:val="0"/>
        <w:bidi w:val="0"/>
        <w:adjustRightInd w:val="0"/>
        <w:snapToGrid w:val="0"/>
        <w:spacing w:line="560" w:lineRule="exact"/>
        <w:ind w:firstLine="640" w:firstLineChars="200"/>
        <w:textAlignment w:val="auto"/>
        <w:outlineLvl w:val="9"/>
        <w:rPr>
          <w:rFonts w:ascii="仿宋_GB2312" w:hAnsi="Times New Roman" w:eastAsia="仿宋_GB2312" w:cs="Times New Roman"/>
          <w:color w:val="000000"/>
          <w:kern w:val="0"/>
          <w:sz w:val="32"/>
          <w:szCs w:val="32"/>
        </w:rPr>
      </w:pPr>
      <w:r>
        <w:rPr>
          <w:rFonts w:hint="eastAsia" w:ascii="楷体_GB2312" w:hAnsi="楷体_GB2312" w:eastAsia="楷体_GB2312" w:cs="楷体_GB2312"/>
          <w:b w:val="0"/>
          <w:bCs w:val="0"/>
          <w:sz w:val="32"/>
          <w:szCs w:val="32"/>
        </w:rPr>
        <w:t>2、开动脑门，丰富执法手段。</w:t>
      </w:r>
      <w:r>
        <w:rPr>
          <w:rFonts w:hint="eastAsia" w:ascii="仿宋_GB2312" w:eastAsia="仿宋_GB2312" w:cs="仿宋_GB2312"/>
          <w:sz w:val="32"/>
          <w:szCs w:val="32"/>
        </w:rPr>
        <w:t>暗管排污通常难以用肉眼直观勘察，基本都采取地埋式管路排污，执法人员应根据现场情况采取有效的侦查手段，</w:t>
      </w:r>
      <w:bookmarkStart w:id="0" w:name="_GoBack"/>
      <w:bookmarkEnd w:id="0"/>
      <w:r>
        <w:rPr>
          <w:rFonts w:hint="eastAsia" w:ascii="仿宋_GB2312" w:eastAsia="仿宋_GB2312" w:cs="仿宋_GB2312"/>
          <w:sz w:val="32"/>
          <w:szCs w:val="32"/>
        </w:rPr>
        <w:t>这就要求执法人员在执法过程中要多思考，积累经验。</w:t>
      </w:r>
    </w:p>
    <w:p>
      <w:pPr>
        <w:keepNext w:val="0"/>
        <w:keepLines w:val="0"/>
        <w:pageBreakBefore w:val="0"/>
        <w:widowControl w:val="0"/>
        <w:kinsoku/>
        <w:wordWrap/>
        <w:overflowPunct/>
        <w:topLinePunct w:val="0"/>
        <w:autoSpaceDE/>
        <w:bidi w:val="0"/>
        <w:spacing w:line="560" w:lineRule="exact"/>
        <w:ind w:firstLine="640" w:firstLineChars="200"/>
        <w:textAlignment w:val="auto"/>
        <w:outlineLvl w:val="9"/>
        <w:rPr>
          <w:rFonts w:ascii="仿宋_GB2312" w:eastAsia="仿宋_GB2312" w:cs="仿宋_GB2312"/>
          <w:sz w:val="32"/>
          <w:szCs w:val="32"/>
        </w:rPr>
      </w:pPr>
      <w:r>
        <w:rPr>
          <w:rFonts w:hint="eastAsia" w:ascii="楷体_GB2312" w:hAnsi="楷体_GB2312" w:eastAsia="楷体_GB2312" w:cs="楷体_GB2312"/>
          <w:b w:val="0"/>
          <w:bCs w:val="0"/>
          <w:sz w:val="32"/>
          <w:szCs w:val="32"/>
        </w:rPr>
        <w:t>3、取证规范，锁定违法行为。</w:t>
      </w:r>
      <w:r>
        <w:rPr>
          <w:rFonts w:hint="eastAsia" w:ascii="仿宋_GB2312" w:eastAsia="仿宋_GB2312" w:cs="仿宋_GB2312"/>
          <w:sz w:val="32"/>
          <w:szCs w:val="32"/>
        </w:rPr>
        <w:t>本案中，执法人员在加入示踪剂前先初判排水去向，对可能的排放路径一一采取水样并保存，之后在当事人现场负责人的陪同下投入示踪剂锁定排水去向，全称录像监控，做到证据确凿，滴水不漏。</w:t>
      </w:r>
    </w:p>
    <w:p>
      <w:pPr>
        <w:widowControl/>
        <w:jc w:val="left"/>
        <w:rPr>
          <w:rFonts w:ascii="仿宋_GB2312" w:eastAsia="仿宋_GB2312" w:cs="仿宋_GB2312"/>
          <w:sz w:val="32"/>
          <w:szCs w:val="32"/>
        </w:rPr>
      </w:pPr>
      <w:r>
        <w:rPr>
          <w:rFonts w:ascii="仿宋_GB2312" w:eastAsia="仿宋_GB2312" w:cs="仿宋_GB2312"/>
          <w:sz w:val="32"/>
          <w:szCs w:val="32"/>
        </w:rPr>
        <w:br w:type="page"/>
      </w:r>
    </w:p>
    <w:p>
      <w:pPr>
        <w:spacing w:line="620" w:lineRule="exact"/>
        <w:ind w:firstLine="420" w:firstLineChars="200"/>
        <w:rPr>
          <w:rFonts w:ascii="仿宋_GB2312" w:eastAsia="仿宋_GB2312" w:cs="仿宋_GB2312"/>
          <w:sz w:val="32"/>
          <w:szCs w:val="32"/>
        </w:rPr>
      </w:pPr>
      <w:r>
        <w:rPr>
          <w:rFonts w:hint="eastAsia" w:ascii="宋体" w:hAnsi="宋体" w:cs="宋体"/>
        </w:rPr>
        <w:t>执法人员于10:58在厂区现场负责人的陪同下将6瓶48ml的红墨水倒入洗胚车间外排口</w:t>
      </w:r>
      <w:r>
        <w:rPr>
          <w:rFonts w:ascii="仿宋_GB2312" w:eastAsia="仿宋_GB2312" w:cs="仿宋_GB2312"/>
          <w:sz w:val="32"/>
          <w:szCs w:val="32"/>
        </w:rPr>
        <w:drawing>
          <wp:anchor distT="0" distB="0" distL="114300" distR="114300" simplePos="0" relativeHeight="251660288" behindDoc="0" locked="0" layoutInCell="1" allowOverlap="1">
            <wp:simplePos x="0" y="0"/>
            <wp:positionH relativeFrom="column">
              <wp:posOffset>2819400</wp:posOffset>
            </wp:positionH>
            <wp:positionV relativeFrom="paragraph">
              <wp:posOffset>104775</wp:posOffset>
            </wp:positionV>
            <wp:extent cx="2628900" cy="3562350"/>
            <wp:effectExtent l="0" t="0" r="0" b="0"/>
            <wp:wrapNone/>
            <wp:docPr id="2" name="图片 8" descr="134567412141707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134567412141707440"/>
                    <pic:cNvPicPr>
                      <a:picLocks noChangeAspect="1"/>
                    </pic:cNvPicPr>
                  </pic:nvPicPr>
                  <pic:blipFill>
                    <a:blip r:embed="rId4"/>
                    <a:srcRect l="11777" t="8516" r="305" b="15984"/>
                    <a:stretch>
                      <a:fillRect/>
                    </a:stretch>
                  </pic:blipFill>
                  <pic:spPr>
                    <a:xfrm>
                      <a:off x="0" y="0"/>
                      <a:ext cx="2628900" cy="3562350"/>
                    </a:xfrm>
                    <a:prstGeom prst="rect">
                      <a:avLst/>
                    </a:prstGeom>
                  </pic:spPr>
                </pic:pic>
              </a:graphicData>
            </a:graphic>
          </wp:anchor>
        </w:drawing>
      </w:r>
      <w:r>
        <w:rPr>
          <w:rFonts w:ascii="仿宋_GB2312" w:eastAsia="仿宋_GB2312" w:cs="仿宋_GB2312"/>
          <w:sz w:val="32"/>
          <w:szCs w:val="32"/>
        </w:rPr>
        <w:drawing>
          <wp:anchor distT="0" distB="0" distL="114300" distR="114300" simplePos="0" relativeHeight="251658240" behindDoc="0" locked="0" layoutInCell="1" allowOverlap="1">
            <wp:simplePos x="0" y="0"/>
            <wp:positionH relativeFrom="column">
              <wp:posOffset>-123825</wp:posOffset>
            </wp:positionH>
            <wp:positionV relativeFrom="paragraph">
              <wp:posOffset>104775</wp:posOffset>
            </wp:positionV>
            <wp:extent cx="2893060" cy="3600450"/>
            <wp:effectExtent l="0" t="0" r="2540" b="0"/>
            <wp:wrapNone/>
            <wp:docPr id="1" name="图片 24" descr="红墨水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descr="红墨水1"/>
                    <pic:cNvPicPr>
                      <a:picLocks noChangeAspect="1" noChangeArrowheads="1"/>
                    </pic:cNvPicPr>
                  </pic:nvPicPr>
                  <pic:blipFill>
                    <a:blip r:embed="rId5"/>
                    <a:srcRect t="5635" r="-72" b="16167"/>
                    <a:stretch>
                      <a:fillRect/>
                    </a:stretch>
                  </pic:blipFill>
                  <pic:spPr>
                    <a:xfrm>
                      <a:off x="0" y="0"/>
                      <a:ext cx="2893060" cy="3600450"/>
                    </a:xfrm>
                    <a:prstGeom prst="rect">
                      <a:avLst/>
                    </a:prstGeom>
                    <a:noFill/>
                    <a:ln w="9525">
                      <a:noFill/>
                      <a:miter lim="800000"/>
                      <a:headEnd/>
                      <a:tailEnd/>
                    </a:ln>
                  </pic:spPr>
                </pic:pic>
              </a:graphicData>
            </a:graphic>
          </wp:anchor>
        </w:drawing>
      </w:r>
    </w:p>
    <w:p>
      <w:pPr>
        <w:rPr>
          <w:rFonts w:ascii="仿宋_GB2312" w:eastAsia="仿宋_GB2312" w:cs="仿宋_GB2312"/>
          <w:sz w:val="32"/>
          <w:szCs w:val="32"/>
        </w:rPr>
      </w:pPr>
    </w:p>
    <w:p>
      <w:pPr>
        <w:rPr>
          <w:rFonts w:ascii="仿宋_GB2312" w:eastAsia="仿宋_GB2312" w:cs="仿宋_GB2312"/>
          <w:sz w:val="32"/>
          <w:szCs w:val="32"/>
        </w:rPr>
      </w:pPr>
    </w:p>
    <w:p>
      <w:pPr>
        <w:rPr>
          <w:rFonts w:ascii="仿宋_GB2312" w:eastAsia="仿宋_GB2312" w:cs="仿宋_GB2312"/>
          <w:sz w:val="32"/>
          <w:szCs w:val="32"/>
        </w:rPr>
      </w:pPr>
    </w:p>
    <w:p>
      <w:pPr>
        <w:rPr>
          <w:rFonts w:ascii="仿宋_GB2312" w:eastAsia="仿宋_GB2312" w:cs="仿宋_GB2312"/>
          <w:sz w:val="32"/>
          <w:szCs w:val="32"/>
        </w:rPr>
      </w:pPr>
    </w:p>
    <w:p>
      <w:pPr>
        <w:rPr>
          <w:rFonts w:ascii="仿宋_GB2312" w:eastAsia="仿宋_GB2312" w:cs="仿宋_GB2312"/>
          <w:sz w:val="32"/>
          <w:szCs w:val="32"/>
        </w:rPr>
      </w:pPr>
    </w:p>
    <w:p>
      <w:pPr>
        <w:rPr>
          <w:rFonts w:ascii="仿宋_GB2312" w:eastAsia="仿宋_GB2312" w:cs="仿宋_GB2312"/>
          <w:sz w:val="32"/>
          <w:szCs w:val="32"/>
        </w:rPr>
      </w:pPr>
    </w:p>
    <w:p>
      <w:pPr>
        <w:rPr>
          <w:rFonts w:ascii="仿宋_GB2312" w:eastAsia="仿宋_GB2312" w:cs="仿宋_GB2312"/>
          <w:sz w:val="32"/>
          <w:szCs w:val="32"/>
        </w:rPr>
      </w:pPr>
    </w:p>
    <w:p>
      <w:pPr>
        <w:rPr>
          <w:rFonts w:ascii="仿宋_GB2312" w:eastAsia="仿宋_GB2312" w:cs="仿宋_GB2312"/>
          <w:sz w:val="32"/>
          <w:szCs w:val="32"/>
        </w:rPr>
      </w:pPr>
    </w:p>
    <w:p>
      <w:pPr>
        <w:rPr>
          <w:rFonts w:ascii="仿宋_GB2312" w:eastAsia="仿宋_GB2312" w:cs="仿宋_GB2312"/>
          <w:sz w:val="32"/>
          <w:szCs w:val="32"/>
        </w:rPr>
      </w:pPr>
      <w:r>
        <w:rPr>
          <w:rFonts w:hint="eastAsia" w:ascii="宋体" w:hAnsi="宋体" w:cs="宋体"/>
        </w:rPr>
        <w:t>执法人员于在厂区现场负责人的陪同下将6瓶48ml的红墨水倒入洗胚车间外排口</w:t>
      </w:r>
    </w:p>
    <w:p>
      <w:pPr>
        <w:rPr>
          <w:rFonts w:ascii="仿宋_GB2312" w:eastAsia="仿宋_GB2312" w:cs="仿宋_GB2312"/>
          <w:sz w:val="32"/>
          <w:szCs w:val="32"/>
        </w:rPr>
      </w:pPr>
      <w:r>
        <w:rPr>
          <w:rFonts w:ascii="仿宋_GB2312" w:eastAsia="仿宋_GB2312" w:cs="仿宋_GB2312"/>
          <w:sz w:val="32"/>
          <w:szCs w:val="32"/>
        </w:rPr>
        <w:drawing>
          <wp:inline distT="0" distB="0" distL="0" distR="0">
            <wp:extent cx="5271770" cy="6677025"/>
            <wp:effectExtent l="0" t="0" r="5080" b="9525"/>
            <wp:docPr id="5" name="图片 1" descr="C:\DOCUME~1\ADMINI~1\LOCALS~1\Temp\WeChat Files\6836840625617892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C:\DOCUME~1\ADMINI~1\LOCALS~1\Temp\WeChat Files\683684062561789259.jpg"/>
                    <pic:cNvPicPr>
                      <a:picLocks noChangeAspect="1" noChangeArrowheads="1"/>
                    </pic:cNvPicPr>
                  </pic:nvPicPr>
                  <pic:blipFill>
                    <a:blip r:embed="rId6"/>
                    <a:srcRect/>
                    <a:stretch>
                      <a:fillRect/>
                    </a:stretch>
                  </pic:blipFill>
                  <pic:spPr>
                    <a:xfrm>
                      <a:off x="0" y="0"/>
                      <a:ext cx="5274310" cy="6679839"/>
                    </a:xfrm>
                    <a:prstGeom prst="rect">
                      <a:avLst/>
                    </a:prstGeom>
                    <a:noFill/>
                    <a:ln w="9525">
                      <a:noFill/>
                      <a:miter lim="800000"/>
                      <a:headEnd/>
                      <a:tailEnd/>
                    </a:ln>
                  </pic:spPr>
                </pic:pic>
              </a:graphicData>
            </a:graphic>
          </wp:inline>
        </w:drawing>
      </w:r>
    </w:p>
    <w:p>
      <w:pPr>
        <w:rPr>
          <w:rFonts w:ascii="仿宋_GB2312" w:eastAsia="仿宋_GB2312" w:cs="仿宋_GB2312"/>
          <w:sz w:val="32"/>
          <w:szCs w:val="32"/>
        </w:rPr>
      </w:pPr>
      <w:r>
        <w:rPr>
          <w:rFonts w:hint="eastAsia" w:ascii="仿宋_GB2312" w:eastAsia="仿宋_GB2312" w:cs="仿宋_GB2312"/>
          <w:sz w:val="32"/>
          <w:szCs w:val="32"/>
        </w:rPr>
        <w:t>采用示踪法锁定偷排废水的排放去向</w:t>
      </w:r>
    </w:p>
    <w:p>
      <w:pPr>
        <w:pStyle w:val="2"/>
        <w:keepNext w:val="0"/>
        <w:keepLines w:val="0"/>
        <w:adjustRightInd w:val="0"/>
        <w:snapToGrid w:val="0"/>
        <w:spacing w:before="0" w:after="0" w:line="560" w:lineRule="exact"/>
        <w:ind w:firstLine="640" w:firstLineChars="200"/>
        <w:jc w:val="left"/>
        <w:rPr>
          <w:rFonts w:ascii="仿宋_GB2312" w:hAnsi="楷体" w:eastAsia="仿宋_GB2312" w:cs="楷体"/>
          <w:b w:val="0"/>
          <w:bCs/>
          <w:szCs w:val="32"/>
          <w:highlight w:val="yellow"/>
          <w:u w:val="singl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0000000000000000000"/>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华文中宋">
    <w:panose1 w:val="02010600040101010101"/>
    <w:charset w:val="86"/>
    <w:family w:val="auto"/>
    <w:pitch w:val="default"/>
    <w:sig w:usb0="00000287" w:usb1="080F0000" w:usb2="00000000" w:usb3="00000000" w:csb0="0004009F" w:csb1="DFD70000"/>
  </w:font>
  <w:font w:name="楷体">
    <w:altName w:val="楷体_GB2312"/>
    <w:panose1 w:val="00000000000000000000"/>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7A5FAC"/>
    <w:multiLevelType w:val="singleLevel"/>
    <w:tmpl w:val="6A7A5FA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95BC2"/>
    <w:rsid w:val="0002597D"/>
    <w:rsid w:val="000279B0"/>
    <w:rsid w:val="00083933"/>
    <w:rsid w:val="000C71F6"/>
    <w:rsid w:val="00144446"/>
    <w:rsid w:val="0019038B"/>
    <w:rsid w:val="001E78B4"/>
    <w:rsid w:val="001F73D2"/>
    <w:rsid w:val="00295BC2"/>
    <w:rsid w:val="002F4A58"/>
    <w:rsid w:val="00384EFB"/>
    <w:rsid w:val="004141E9"/>
    <w:rsid w:val="00476B19"/>
    <w:rsid w:val="00514C31"/>
    <w:rsid w:val="00636CA4"/>
    <w:rsid w:val="006731B1"/>
    <w:rsid w:val="006D1827"/>
    <w:rsid w:val="00747E93"/>
    <w:rsid w:val="007E68F6"/>
    <w:rsid w:val="007E7C7B"/>
    <w:rsid w:val="00837484"/>
    <w:rsid w:val="008514CE"/>
    <w:rsid w:val="009D5A44"/>
    <w:rsid w:val="00AA49C4"/>
    <w:rsid w:val="00AB2E48"/>
    <w:rsid w:val="00B0114E"/>
    <w:rsid w:val="00B82D05"/>
    <w:rsid w:val="00BC17AB"/>
    <w:rsid w:val="00CC7143"/>
    <w:rsid w:val="00D2106E"/>
    <w:rsid w:val="00D273B7"/>
    <w:rsid w:val="00D431AC"/>
    <w:rsid w:val="00DE7A0E"/>
    <w:rsid w:val="00E57DAB"/>
    <w:rsid w:val="00E86294"/>
    <w:rsid w:val="00ED1C49"/>
    <w:rsid w:val="00F93EE6"/>
    <w:rsid w:val="01277B73"/>
    <w:rsid w:val="01AA20C3"/>
    <w:rsid w:val="041B5E7A"/>
    <w:rsid w:val="07337611"/>
    <w:rsid w:val="08ED2CFD"/>
    <w:rsid w:val="092E7F98"/>
    <w:rsid w:val="0B7B5BF6"/>
    <w:rsid w:val="0DB82DA4"/>
    <w:rsid w:val="0EF86D38"/>
    <w:rsid w:val="10006D22"/>
    <w:rsid w:val="15ED1882"/>
    <w:rsid w:val="16D209D0"/>
    <w:rsid w:val="170F3E25"/>
    <w:rsid w:val="171069A3"/>
    <w:rsid w:val="192872CF"/>
    <w:rsid w:val="1CD10A5E"/>
    <w:rsid w:val="1D682214"/>
    <w:rsid w:val="1E486673"/>
    <w:rsid w:val="1F465295"/>
    <w:rsid w:val="21B172F7"/>
    <w:rsid w:val="23BC7615"/>
    <w:rsid w:val="2BCA2896"/>
    <w:rsid w:val="2D137EC6"/>
    <w:rsid w:val="2DC30878"/>
    <w:rsid w:val="329B775A"/>
    <w:rsid w:val="330273DE"/>
    <w:rsid w:val="3495323A"/>
    <w:rsid w:val="364D296D"/>
    <w:rsid w:val="37875850"/>
    <w:rsid w:val="3A5F173C"/>
    <w:rsid w:val="3DBB029E"/>
    <w:rsid w:val="411E19F9"/>
    <w:rsid w:val="45F40AA0"/>
    <w:rsid w:val="463430CA"/>
    <w:rsid w:val="48A01FD1"/>
    <w:rsid w:val="4EB12C01"/>
    <w:rsid w:val="52500E1A"/>
    <w:rsid w:val="539D5F1C"/>
    <w:rsid w:val="55335433"/>
    <w:rsid w:val="57214A11"/>
    <w:rsid w:val="5C402272"/>
    <w:rsid w:val="5C5503F9"/>
    <w:rsid w:val="5D0F1A2D"/>
    <w:rsid w:val="5EE0206C"/>
    <w:rsid w:val="5FB67EEA"/>
    <w:rsid w:val="636C674D"/>
    <w:rsid w:val="67307CCE"/>
    <w:rsid w:val="67D2371B"/>
    <w:rsid w:val="67D90215"/>
    <w:rsid w:val="6822176E"/>
    <w:rsid w:val="68DC6BE7"/>
    <w:rsid w:val="690F6EF9"/>
    <w:rsid w:val="694F2FA3"/>
    <w:rsid w:val="6B4C0569"/>
    <w:rsid w:val="71C04B72"/>
    <w:rsid w:val="732008C0"/>
    <w:rsid w:val="738C55DC"/>
    <w:rsid w:val="74931E20"/>
    <w:rsid w:val="74F06AB7"/>
    <w:rsid w:val="75AF75E6"/>
    <w:rsid w:val="7730261F"/>
    <w:rsid w:val="779E53D9"/>
    <w:rsid w:val="7A713A2A"/>
    <w:rsid w:val="7B25773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next w:val="1"/>
    <w:link w:val="10"/>
    <w:qFormat/>
    <w:uiPriority w:val="0"/>
    <w:pPr>
      <w:keepNext/>
      <w:keepLines/>
      <w:widowControl w:val="0"/>
      <w:spacing w:before="260" w:after="260" w:line="412" w:lineRule="auto"/>
      <w:jc w:val="both"/>
      <w:outlineLvl w:val="2"/>
    </w:pPr>
    <w:rPr>
      <w:rFonts w:ascii="Calibri" w:hAnsi="Calibri" w:eastAsia="宋体" w:cs="Times New Roman"/>
      <w:b/>
      <w:kern w:val="2"/>
      <w:sz w:val="3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标题 3 Char"/>
    <w:basedOn w:val="5"/>
    <w:link w:val="2"/>
    <w:qFormat/>
    <w:uiPriority w:val="0"/>
    <w:rPr>
      <w:rFonts w:ascii="Calibri" w:hAnsi="Calibri" w:eastAsia="宋体" w:cs="Times New Roman"/>
      <w:b/>
      <w:sz w:val="32"/>
      <w:szCs w:val="20"/>
    </w:rPr>
  </w:style>
  <w:style w:type="paragraph" w:customStyle="1" w:styleId="11">
    <w:name w:val="p0"/>
    <w:next w:val="4"/>
    <w:qFormat/>
    <w:uiPriority w:val="0"/>
    <w:pPr>
      <w:jc w:val="both"/>
    </w:pPr>
    <w:rPr>
      <w:rFonts w:ascii="Times New Roman" w:hAnsi="Times New Roman" w:eastAsia="宋体" w:cs="Times New Roman"/>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12</Pages>
  <Words>799</Words>
  <Characters>4556</Characters>
  <Lines>37</Lines>
  <Paragraphs>10</Paragraphs>
  <TotalTime>9</TotalTime>
  <ScaleCrop>false</ScaleCrop>
  <LinksUpToDate>false</LinksUpToDate>
  <CharactersWithSpaces>5345</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2018-11-26T08:32:00Z</dcterms:created>
  <dc:creator>hp02</dc:creator>
  <cp:lastModifiedBy>啊津</cp:lastModifiedBy>
  <cp:lastPrinted>2018-11-26T06:50:00Z</cp:lastPrinted>
  <dcterms:modified xsi:type="dcterms:W3CDTF">2018-11-26T08:44:08Z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