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10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宁德市环境监察支队先进事迹自述报告</w:t>
      </w:r>
    </w:p>
    <w:p>
      <w:pPr>
        <w:spacing w:line="640" w:lineRule="exact"/>
        <w:rPr>
          <w:rFonts w:ascii="仿宋_GB2312" w:hAnsi="仿宋" w:eastAsia="仿宋_GB2312"/>
          <w:sz w:val="32"/>
          <w:szCs w:val="32"/>
        </w:rPr>
      </w:pPr>
      <w:r>
        <w:rPr>
          <w:rFonts w:hint="eastAsia" w:ascii="仿宋_GB2312" w:hAnsi="仿宋" w:eastAsia="仿宋_GB2312"/>
          <w:sz w:val="32"/>
          <w:szCs w:val="32"/>
        </w:rPr>
        <w:t>省环保厅：</w:t>
      </w:r>
    </w:p>
    <w:p>
      <w:pPr>
        <w:autoSpaceDN w:val="0"/>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根据国家环保部、省环保厅关于开展</w:t>
      </w:r>
      <w:r>
        <w:rPr>
          <w:rFonts w:hint="eastAsia" w:ascii="仿宋_GB2312" w:hAnsi="仿宋_GB2312" w:eastAsia="仿宋_GB2312" w:cs="仿宋_GB2312"/>
          <w:sz w:val="32"/>
          <w:szCs w:val="32"/>
          <w:lang w:val="en-US" w:eastAsia="zh-CN"/>
        </w:rPr>
        <w:t>2018年</w:t>
      </w:r>
      <w:r>
        <w:rPr>
          <w:rFonts w:hint="eastAsia" w:ascii="仿宋_GB2312" w:hAnsi="仿宋_GB2312" w:eastAsia="仿宋_GB2312" w:cs="仿宋_GB2312"/>
          <w:sz w:val="32"/>
          <w:szCs w:val="32"/>
        </w:rPr>
        <w:t>环境执法大练兵的部署要求，我市高度重视，认真组织实施。“大练兵”开展期间，各级环境执法部门坚持问题导向，</w:t>
      </w:r>
      <w:r>
        <w:rPr>
          <w:rFonts w:hint="eastAsia" w:ascii="仿宋_GB2312" w:eastAsia="仿宋_GB2312"/>
          <w:color w:val="000000"/>
          <w:sz w:val="32"/>
          <w:szCs w:val="32"/>
        </w:rPr>
        <w:t>主动靠前，积极作为，持续强化环境监管，</w:t>
      </w:r>
      <w:r>
        <w:rPr>
          <w:rFonts w:hint="eastAsia" w:ascii="仿宋_GB2312" w:hAnsi="仿宋_GB2312" w:eastAsia="仿宋_GB2312" w:cs="仿宋_GB2312"/>
          <w:sz w:val="32"/>
          <w:szCs w:val="32"/>
        </w:rPr>
        <w:t>取得了明显成效。1-</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全市共出动执法人员</w:t>
      </w:r>
      <w:r>
        <w:rPr>
          <w:rFonts w:hint="eastAsia" w:ascii="仿宋_GB2312" w:hAnsi="仿宋_GB2312" w:eastAsia="仿宋_GB2312" w:cs="仿宋_GB2312"/>
          <w:sz w:val="32"/>
          <w:szCs w:val="32"/>
          <w:lang w:val="en-US" w:eastAsia="zh-CN"/>
        </w:rPr>
        <w:t>3600余</w:t>
      </w:r>
      <w:r>
        <w:rPr>
          <w:rFonts w:hint="eastAsia" w:ascii="仿宋_GB2312" w:hAnsi="仿宋_GB2312" w:eastAsia="仿宋_GB2312" w:cs="仿宋_GB2312"/>
          <w:sz w:val="32"/>
          <w:szCs w:val="32"/>
        </w:rPr>
        <w:t>人次，检查企业</w:t>
      </w:r>
      <w:r>
        <w:rPr>
          <w:rFonts w:hint="eastAsia" w:ascii="仿宋_GB2312" w:hAnsi="仿宋_GB2312" w:eastAsia="仿宋_GB2312" w:cs="仿宋_GB2312"/>
          <w:sz w:val="32"/>
          <w:szCs w:val="32"/>
          <w:lang w:val="en-US" w:eastAsia="zh-CN"/>
        </w:rPr>
        <w:t>1950余</w:t>
      </w:r>
      <w:r>
        <w:rPr>
          <w:rFonts w:hint="eastAsia" w:ascii="仿宋_GB2312" w:hAnsi="仿宋_GB2312" w:eastAsia="仿宋_GB2312" w:cs="仿宋_GB2312"/>
          <w:sz w:val="32"/>
          <w:szCs w:val="32"/>
        </w:rPr>
        <w:t>家次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全市累计下达行政处罚决定</w:t>
      </w:r>
      <w:r>
        <w:rPr>
          <w:rFonts w:hint="eastAsia" w:ascii="仿宋_GB2312" w:hAnsi="仿宋_GB2312" w:eastAsia="仿宋_GB2312" w:cs="仿宋_GB2312"/>
          <w:sz w:val="32"/>
          <w:szCs w:val="32"/>
          <w:lang w:val="en-US" w:eastAsia="zh-CN"/>
        </w:rPr>
        <w:t>199</w:t>
      </w:r>
      <w:r>
        <w:rPr>
          <w:rFonts w:hint="eastAsia" w:ascii="仿宋_GB2312" w:hAnsi="仿宋_GB2312" w:eastAsia="仿宋_GB2312" w:cs="仿宋_GB2312"/>
          <w:sz w:val="32"/>
          <w:szCs w:val="32"/>
        </w:rPr>
        <w:t>份，合计处罚</w:t>
      </w:r>
      <w:r>
        <w:rPr>
          <w:rFonts w:hint="eastAsia" w:ascii="仿宋_GB2312" w:hAnsi="仿宋_GB2312" w:eastAsia="仿宋_GB2312" w:cs="仿宋_GB2312"/>
          <w:sz w:val="32"/>
          <w:szCs w:val="32"/>
          <w:lang w:val="en-US" w:eastAsia="zh-CN"/>
        </w:rPr>
        <w:t>2189余</w:t>
      </w:r>
      <w:r>
        <w:rPr>
          <w:rFonts w:hint="eastAsia" w:ascii="仿宋_GB2312" w:hAnsi="仿宋_GB2312" w:eastAsia="仿宋_GB2312" w:cs="仿宋_GB2312"/>
          <w:sz w:val="32"/>
          <w:szCs w:val="32"/>
        </w:rPr>
        <w:t>万元，全市办理“四个配套”办法行政措施和司法移送案件</w:t>
      </w:r>
      <w:r>
        <w:rPr>
          <w:rFonts w:hint="eastAsia" w:ascii="仿宋_GB2312" w:hAnsi="仿宋_GB2312" w:eastAsia="仿宋_GB2312" w:cs="仿宋_GB2312"/>
          <w:sz w:val="32"/>
          <w:szCs w:val="32"/>
          <w:lang w:val="en-US" w:eastAsia="zh-CN"/>
        </w:rPr>
        <w:t>224</w:t>
      </w:r>
      <w:r>
        <w:rPr>
          <w:rFonts w:hint="eastAsia" w:ascii="仿宋_GB2312" w:hAnsi="仿宋_GB2312" w:eastAsia="仿宋_GB2312" w:cs="仿宋_GB2312"/>
          <w:sz w:val="32"/>
          <w:szCs w:val="32"/>
        </w:rPr>
        <w:t>件。现将开展情况报告如下：</w:t>
      </w:r>
    </w:p>
    <w:p>
      <w:pPr>
        <w:ind w:firstLine="640" w:firstLineChars="200"/>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一、创新比武模式，优化培训指导。</w:t>
      </w:r>
      <w:r>
        <w:rPr>
          <w:rFonts w:hint="eastAsia" w:ascii="仿宋_GB2312" w:hAnsi="仿宋_GB2312" w:eastAsia="仿宋_GB2312" w:cs="仿宋_GB2312"/>
          <w:sz w:val="32"/>
          <w:szCs w:val="32"/>
          <w:lang w:val="en-US" w:eastAsia="zh-CN"/>
        </w:rPr>
        <w:t>今年6月以来，根据省、市环境执法大练兵工作方案，为确保实现练兵“全员全年全覆盖”，市环保局创新练兵方式，宁德市每月在全市范围内随机抽选执法人员开展线上、线下相结合方式环境执法竞赛比武，主要考察环境执法人员案卷点评和案例分析能力。其中，线上比武通过临时组建微信群发放竞赛资料开卷考，线下比武通过集中闭卷考形式。每期竞赛比武成绩均予以通报，并根据成绩进行县区和个人排位，作为推荐参加省级竞赛比武和参选2018年环境执法大练兵表现突出集体和个人的重要依据。通过线上线下竞赛比武，宁德市掀起环境执法练兵热潮，并取得了明显成效：一是基本实现练兵全员覆盖。截至目前，宁德市已开展六期练兵比武竞赛（其中线下比武2期），参与竞赛执法人员数近100</w:t>
      </w:r>
      <w:r>
        <w:rPr>
          <w:rStyle w:val="6"/>
          <w:rFonts w:hint="eastAsia" w:ascii="仿宋" w:hAnsi="仿宋" w:cs="仿宋"/>
          <w:b w:val="0"/>
          <w:bCs/>
          <w:i w:val="0"/>
          <w:caps w:val="0"/>
          <w:color w:val="333333"/>
          <w:spacing w:val="8"/>
          <w:sz w:val="32"/>
          <w:szCs w:val="32"/>
          <w:u w:val="none"/>
          <w:shd w:val="clear" w:color="auto" w:fill="FFFFFF"/>
          <w:lang w:val="en-US" w:eastAsia="zh-CN"/>
        </w:rPr>
        <w:t>人（次），</w:t>
      </w:r>
      <w:r>
        <w:rPr>
          <w:rFonts w:hint="eastAsia" w:ascii="仿宋_GB2312" w:hAnsi="仿宋_GB2312" w:eastAsia="仿宋_GB2312" w:cs="仿宋_GB2312"/>
          <w:sz w:val="32"/>
          <w:szCs w:val="32"/>
          <w:lang w:val="en-US" w:eastAsia="zh-CN"/>
        </w:rPr>
        <w:t>派员参加两期省级比武竞赛，排名均在全省前列</w:t>
      </w:r>
      <w:r>
        <w:rPr>
          <w:rStyle w:val="6"/>
          <w:rFonts w:hint="eastAsia" w:ascii="仿宋" w:hAnsi="仿宋" w:eastAsia="仿宋" w:cs="仿宋"/>
          <w:b w:val="0"/>
          <w:bCs/>
          <w:i w:val="0"/>
          <w:caps w:val="0"/>
          <w:color w:val="333333"/>
          <w:spacing w:val="8"/>
          <w:sz w:val="32"/>
          <w:szCs w:val="32"/>
          <w:u w:val="none"/>
          <w:shd w:val="clear" w:color="auto" w:fill="FFFFFF"/>
          <w:lang w:val="en-US" w:eastAsia="zh-CN"/>
        </w:rPr>
        <w:t>。</w:t>
      </w:r>
      <w:r>
        <w:rPr>
          <w:rStyle w:val="6"/>
          <w:rFonts w:hint="eastAsia" w:ascii="仿宋" w:hAnsi="仿宋" w:eastAsia="仿宋" w:cs="仿宋"/>
          <w:b/>
          <w:bCs w:val="0"/>
          <w:i w:val="0"/>
          <w:caps w:val="0"/>
          <w:color w:val="333333"/>
          <w:spacing w:val="8"/>
          <w:sz w:val="32"/>
          <w:szCs w:val="32"/>
          <w:u w:val="none"/>
          <w:shd w:val="clear" w:color="auto" w:fill="FFFFFF"/>
          <w:lang w:val="en-US" w:eastAsia="zh-CN"/>
        </w:rPr>
        <w:t>二是</w:t>
      </w:r>
      <w:r>
        <w:rPr>
          <w:rStyle w:val="6"/>
          <w:rFonts w:hint="eastAsia" w:ascii="仿宋" w:hAnsi="仿宋" w:eastAsia="仿宋" w:cs="仿宋"/>
          <w:b w:val="0"/>
          <w:bCs/>
          <w:i w:val="0"/>
          <w:caps w:val="0"/>
          <w:color w:val="333333"/>
          <w:spacing w:val="8"/>
          <w:sz w:val="32"/>
          <w:szCs w:val="32"/>
          <w:u w:val="none"/>
          <w:shd w:val="clear" w:color="auto" w:fill="FFFFFF"/>
          <w:lang w:val="en-US" w:eastAsia="zh-CN"/>
        </w:rPr>
        <w:t>办案能力有所增强。通过案卷评查，举一反三，融会贯通，探索新的办案技巧，精准打击不同的环境违法问题。</w:t>
      </w:r>
      <w:r>
        <w:rPr>
          <w:rStyle w:val="6"/>
          <w:rFonts w:hint="eastAsia" w:ascii="仿宋" w:hAnsi="仿宋" w:eastAsia="仿宋" w:cs="仿宋"/>
          <w:b/>
          <w:bCs w:val="0"/>
          <w:i w:val="0"/>
          <w:caps w:val="0"/>
          <w:color w:val="333333"/>
          <w:spacing w:val="8"/>
          <w:sz w:val="32"/>
          <w:szCs w:val="32"/>
          <w:u w:val="none"/>
          <w:shd w:val="clear" w:color="auto" w:fill="FFFFFF"/>
          <w:lang w:val="en-US" w:eastAsia="zh-CN"/>
        </w:rPr>
        <w:t>三是</w:t>
      </w:r>
      <w:r>
        <w:rPr>
          <w:rStyle w:val="6"/>
          <w:rFonts w:hint="eastAsia" w:ascii="仿宋" w:hAnsi="仿宋" w:eastAsia="仿宋" w:cs="仿宋"/>
          <w:b w:val="0"/>
          <w:bCs/>
          <w:i w:val="0"/>
          <w:caps w:val="0"/>
          <w:color w:val="333333"/>
          <w:spacing w:val="8"/>
          <w:sz w:val="32"/>
          <w:szCs w:val="32"/>
          <w:u w:val="none"/>
          <w:shd w:val="clear" w:color="auto" w:fill="FFFFFF"/>
          <w:lang w:val="en-US" w:eastAsia="zh-CN"/>
        </w:rPr>
        <w:t>执法案卷质量显著提升。通过练兵比武，执法人员更加熟悉环保法律法规和办案规范要求，比中练，练中学，以更加精益求精的态度办好案件</w:t>
      </w:r>
      <w:r>
        <w:rPr>
          <w:rFonts w:hint="eastAsia" w:ascii="仿宋_GB2312" w:hAnsi="仿宋_GB2312" w:eastAsia="仿宋_GB2312" w:cs="仿宋_GB2312"/>
          <w:sz w:val="32"/>
          <w:szCs w:val="32"/>
          <w:lang w:val="en-US" w:eastAsia="zh-CN"/>
        </w:rPr>
        <w:t>。在练兵竞赛比武准备期间，市环保局还开展针对性的比武培训指导，汇编重点法律法规条文解读，研究战略战术，模拟比武竞赛演练，线上线下加强学习。</w:t>
      </w:r>
    </w:p>
    <w:p>
      <w:pPr>
        <w:spacing w:line="560" w:lineRule="exact"/>
        <w:ind w:firstLine="640" w:firstLineChars="200"/>
        <w:jc w:val="left"/>
        <w:rPr>
          <w:rFonts w:hint="eastAsia" w:ascii="仿宋_GB2312" w:hAnsi="宋体" w:eastAsia="仿宋_GB2312" w:cs="Segoe UI"/>
          <w:color w:val="333333"/>
          <w:sz w:val="32"/>
          <w:szCs w:val="32"/>
          <w:lang w:eastAsia="zh-CN"/>
        </w:rPr>
      </w:pPr>
      <w:r>
        <w:rPr>
          <w:rFonts w:hint="eastAsia" w:ascii="黑体" w:hAnsi="黑体" w:eastAsia="黑体" w:cs="黑体"/>
          <w:sz w:val="32"/>
          <w:szCs w:val="32"/>
          <w:lang w:val="en-US" w:eastAsia="zh-CN"/>
        </w:rPr>
        <w:t>二、开展智能稽查、边督边改边提高。</w:t>
      </w:r>
      <w:r>
        <w:rPr>
          <w:rStyle w:val="6"/>
          <w:rFonts w:hint="eastAsia" w:ascii="仿宋" w:hAnsi="仿宋" w:eastAsia="仿宋" w:cs="仿宋"/>
          <w:b/>
          <w:bCs w:val="0"/>
          <w:i w:val="0"/>
          <w:caps w:val="0"/>
          <w:color w:val="333333"/>
          <w:spacing w:val="8"/>
          <w:sz w:val="32"/>
          <w:szCs w:val="32"/>
          <w:u w:val="none"/>
          <w:shd w:val="clear" w:color="auto" w:fill="FFFFFF"/>
          <w:lang w:val="en-US" w:eastAsia="zh-CN"/>
        </w:rPr>
        <w:t>一是</w:t>
      </w:r>
      <w:r>
        <w:rPr>
          <w:rStyle w:val="6"/>
          <w:rFonts w:hint="eastAsia" w:ascii="仿宋" w:hAnsi="仿宋" w:eastAsia="仿宋" w:cs="仿宋"/>
          <w:b w:val="0"/>
          <w:bCs/>
          <w:i w:val="0"/>
          <w:caps w:val="0"/>
          <w:color w:val="333333"/>
          <w:spacing w:val="8"/>
          <w:sz w:val="32"/>
          <w:szCs w:val="32"/>
          <w:u w:val="none"/>
          <w:shd w:val="clear" w:color="auto" w:fill="FFFFFF"/>
          <w:lang w:val="en-US" w:eastAsia="zh-CN"/>
        </w:rPr>
        <w:t>创立案卷评查整改制度。针对我市县区环境行政执法行为规范性不够、卷宗质量参差不齐，与我省前两年大练兵表现突出县区差距较大等问题，市环保局环境监察支队创新设立“专人评查——集体讨论——网格促改”模式的案卷评查整改制度，组织各地对所有行政执法案件进行自查，逐一汇总个案发现的问题，督促各县整改并反馈</w:t>
      </w:r>
      <w:r>
        <w:rPr>
          <w:rStyle w:val="6"/>
          <w:rFonts w:hint="eastAsia" w:ascii="仿宋" w:hAnsi="仿宋" w:cs="仿宋"/>
          <w:b w:val="0"/>
          <w:bCs/>
          <w:i w:val="0"/>
          <w:caps w:val="0"/>
          <w:color w:val="333333"/>
          <w:spacing w:val="8"/>
          <w:sz w:val="32"/>
          <w:szCs w:val="32"/>
          <w:u w:val="none"/>
          <w:shd w:val="clear" w:color="auto" w:fill="FFFFFF"/>
          <w:lang w:val="en-US" w:eastAsia="zh-CN"/>
        </w:rPr>
        <w:t>。</w:t>
      </w:r>
      <w:r>
        <w:rPr>
          <w:rStyle w:val="6"/>
          <w:rFonts w:hint="eastAsia" w:ascii="仿宋" w:hAnsi="仿宋" w:eastAsia="仿宋" w:cs="仿宋"/>
          <w:b/>
          <w:bCs w:val="0"/>
          <w:i w:val="0"/>
          <w:caps w:val="0"/>
          <w:color w:val="333333"/>
          <w:spacing w:val="8"/>
          <w:sz w:val="32"/>
          <w:szCs w:val="32"/>
          <w:u w:val="none"/>
          <w:shd w:val="clear" w:color="auto" w:fill="FFFFFF"/>
          <w:lang w:val="en-US" w:eastAsia="zh-CN"/>
        </w:rPr>
        <w:t>二是</w:t>
      </w:r>
      <w:r>
        <w:rPr>
          <w:rFonts w:hint="eastAsia" w:ascii="仿宋_GB2312" w:hAnsi="宋体" w:eastAsia="仿宋_GB2312" w:cs="Segoe UI"/>
          <w:color w:val="333333"/>
          <w:sz w:val="32"/>
          <w:szCs w:val="32"/>
        </w:rPr>
        <w:t>利用“智能稽查”开展环境执法稽查工作</w:t>
      </w:r>
      <w:r>
        <w:rPr>
          <w:rFonts w:hint="eastAsia" w:ascii="仿宋_GB2312" w:hAnsi="宋体" w:eastAsia="仿宋_GB2312" w:cs="Segoe UI"/>
          <w:color w:val="333333"/>
          <w:sz w:val="32"/>
          <w:szCs w:val="32"/>
          <w:lang w:eastAsia="zh-CN"/>
        </w:rPr>
        <w:t>。根据年度稽查工作计划安排，稽查人员利用</w:t>
      </w:r>
      <w:r>
        <w:rPr>
          <w:rFonts w:hint="eastAsia" w:ascii="仿宋_GB2312" w:hAnsi="宋体" w:eastAsia="仿宋_GB2312" w:cs="Segoe UI"/>
          <w:color w:val="333333"/>
          <w:sz w:val="32"/>
          <w:szCs w:val="32"/>
        </w:rPr>
        <w:t>“智能稽查”</w:t>
      </w:r>
      <w:r>
        <w:rPr>
          <w:rFonts w:hint="eastAsia" w:ascii="仿宋_GB2312" w:hAnsi="宋体" w:eastAsia="仿宋_GB2312" w:cs="Segoe UI"/>
          <w:color w:val="333333"/>
          <w:sz w:val="32"/>
          <w:szCs w:val="32"/>
          <w:lang w:eastAsia="zh-CN"/>
        </w:rPr>
        <w:t>功能对计划稽查的蕉城区环保局、福安市环保局和古田县环保局共筛选出的</w:t>
      </w:r>
      <w:r>
        <w:rPr>
          <w:rFonts w:hint="eastAsia" w:ascii="仿宋_GB2312" w:hAnsi="宋体" w:eastAsia="仿宋_GB2312" w:cs="Segoe UI"/>
          <w:color w:val="333333"/>
          <w:sz w:val="32"/>
          <w:szCs w:val="32"/>
          <w:lang w:val="en-US" w:eastAsia="zh-CN"/>
        </w:rPr>
        <w:t>16</w:t>
      </w:r>
      <w:r>
        <w:rPr>
          <w:rFonts w:hint="eastAsia" w:ascii="仿宋_GB2312" w:hAnsi="宋体" w:eastAsia="仿宋_GB2312" w:cs="Segoe UI"/>
          <w:color w:val="333333"/>
          <w:sz w:val="32"/>
          <w:szCs w:val="32"/>
          <w:lang w:eastAsia="zh-CN"/>
        </w:rPr>
        <w:t>个</w:t>
      </w:r>
      <w:r>
        <w:rPr>
          <w:rFonts w:hint="eastAsia" w:ascii="仿宋_GB2312" w:hAnsi="宋体" w:eastAsia="仿宋_GB2312" w:cs="Segoe UI"/>
          <w:color w:val="333333"/>
          <w:sz w:val="32"/>
          <w:szCs w:val="32"/>
        </w:rPr>
        <w:t>疑似问题大案件、</w:t>
      </w:r>
      <w:r>
        <w:rPr>
          <w:rFonts w:hint="eastAsia" w:ascii="仿宋_GB2312" w:hAnsi="宋体" w:eastAsia="仿宋_GB2312" w:cs="Segoe UI"/>
          <w:color w:val="333333"/>
          <w:sz w:val="32"/>
          <w:szCs w:val="32"/>
          <w:lang w:val="en-US" w:eastAsia="zh-CN"/>
        </w:rPr>
        <w:t>78</w:t>
      </w:r>
      <w:r>
        <w:rPr>
          <w:rFonts w:hint="eastAsia" w:ascii="仿宋_GB2312" w:hAnsi="宋体" w:eastAsia="仿宋_GB2312" w:cs="Segoe UI"/>
          <w:color w:val="333333"/>
          <w:sz w:val="32"/>
          <w:szCs w:val="32"/>
          <w:lang w:eastAsia="zh-CN"/>
        </w:rPr>
        <w:t>个</w:t>
      </w:r>
      <w:r>
        <w:rPr>
          <w:rFonts w:hint="eastAsia" w:ascii="仿宋_GB2312" w:hAnsi="宋体" w:eastAsia="仿宋_GB2312" w:cs="Segoe UI"/>
          <w:color w:val="333333"/>
          <w:sz w:val="32"/>
          <w:szCs w:val="32"/>
        </w:rPr>
        <w:t>疑似问题小案件</w:t>
      </w:r>
      <w:r>
        <w:rPr>
          <w:rFonts w:hint="eastAsia" w:ascii="仿宋_GB2312" w:hAnsi="宋体" w:eastAsia="仿宋_GB2312" w:cs="Segoe UI"/>
          <w:color w:val="333333"/>
          <w:sz w:val="32"/>
          <w:szCs w:val="32"/>
          <w:lang w:eastAsia="zh-CN"/>
        </w:rPr>
        <w:t>和</w:t>
      </w:r>
      <w:r>
        <w:rPr>
          <w:rFonts w:hint="eastAsia" w:ascii="仿宋_GB2312" w:hAnsi="宋体" w:eastAsia="仿宋_GB2312" w:cs="Segoe UI"/>
          <w:color w:val="333333"/>
          <w:sz w:val="32"/>
          <w:szCs w:val="32"/>
          <w:lang w:val="en-US" w:eastAsia="zh-CN"/>
        </w:rPr>
        <w:t>1</w:t>
      </w:r>
      <w:r>
        <w:rPr>
          <w:rFonts w:hint="eastAsia" w:ascii="仿宋_GB2312" w:hAnsi="宋体" w:eastAsia="仿宋_GB2312" w:cs="Segoe UI"/>
          <w:color w:val="333333"/>
          <w:sz w:val="32"/>
          <w:szCs w:val="32"/>
          <w:lang w:eastAsia="zh-CN"/>
        </w:rPr>
        <w:t>个</w:t>
      </w:r>
      <w:r>
        <w:rPr>
          <w:rFonts w:hint="eastAsia" w:ascii="仿宋_GB2312" w:hAnsi="宋体" w:eastAsia="仿宋_GB2312" w:cs="Segoe UI"/>
          <w:color w:val="333333"/>
          <w:sz w:val="32"/>
          <w:szCs w:val="32"/>
        </w:rPr>
        <w:t>疑似问题执法</w:t>
      </w:r>
      <w:r>
        <w:rPr>
          <w:rFonts w:hint="eastAsia" w:ascii="仿宋_GB2312" w:hAnsi="宋体" w:eastAsia="仿宋_GB2312" w:cs="Segoe UI"/>
          <w:color w:val="333333"/>
          <w:sz w:val="32"/>
          <w:szCs w:val="32"/>
          <w:lang w:eastAsia="zh-CN"/>
        </w:rPr>
        <w:t>结果进行二次梳理汇总</w:t>
      </w:r>
      <w:r>
        <w:rPr>
          <w:rFonts w:hint="eastAsia" w:ascii="仿宋_GB2312" w:hAnsi="宋体" w:eastAsia="仿宋_GB2312" w:cs="Segoe UI"/>
          <w:color w:val="333333"/>
          <w:sz w:val="32"/>
          <w:szCs w:val="32"/>
        </w:rPr>
        <w:t>，</w:t>
      </w:r>
      <w:r>
        <w:rPr>
          <w:rFonts w:hint="eastAsia" w:ascii="仿宋_GB2312" w:hAnsi="宋体" w:eastAsia="仿宋_GB2312" w:cs="Segoe UI"/>
          <w:color w:val="333333"/>
          <w:sz w:val="32"/>
          <w:szCs w:val="32"/>
          <w:lang w:eastAsia="zh-CN"/>
        </w:rPr>
        <w:t>锁定稽查重点，精准分析</w:t>
      </w:r>
      <w:r>
        <w:rPr>
          <w:rFonts w:hint="eastAsia" w:ascii="仿宋_GB2312" w:hAnsi="宋体" w:eastAsia="仿宋_GB2312" w:cs="Segoe UI"/>
          <w:color w:val="333333"/>
          <w:sz w:val="32"/>
          <w:szCs w:val="32"/>
        </w:rPr>
        <w:t>被稽查单位</w:t>
      </w:r>
      <w:r>
        <w:rPr>
          <w:rFonts w:hint="eastAsia" w:ascii="仿宋_GB2312" w:hAnsi="宋体" w:eastAsia="仿宋_GB2312" w:cs="Segoe UI"/>
          <w:color w:val="333333"/>
          <w:sz w:val="32"/>
          <w:szCs w:val="32"/>
          <w:lang w:eastAsia="zh-CN"/>
        </w:rPr>
        <w:t>执法工作</w:t>
      </w:r>
      <w:r>
        <w:rPr>
          <w:rFonts w:hint="eastAsia" w:ascii="仿宋_GB2312" w:hAnsi="宋体" w:eastAsia="仿宋_GB2312" w:cs="Segoe UI"/>
          <w:color w:val="333333"/>
          <w:sz w:val="32"/>
          <w:szCs w:val="32"/>
        </w:rPr>
        <w:t>中存在</w:t>
      </w:r>
      <w:r>
        <w:rPr>
          <w:rFonts w:hint="eastAsia" w:ascii="仿宋_GB2312" w:hAnsi="宋体" w:eastAsia="仿宋_GB2312" w:cs="Segoe UI"/>
          <w:color w:val="333333"/>
          <w:sz w:val="32"/>
          <w:szCs w:val="32"/>
          <w:lang w:eastAsia="zh-CN"/>
        </w:rPr>
        <w:t>的</w:t>
      </w:r>
      <w:r>
        <w:rPr>
          <w:rFonts w:hint="eastAsia" w:ascii="仿宋_GB2312" w:hAnsi="宋体" w:eastAsia="仿宋_GB2312" w:cs="Segoe UI"/>
          <w:color w:val="333333"/>
          <w:sz w:val="32"/>
          <w:szCs w:val="32"/>
        </w:rPr>
        <w:t>不足，</w:t>
      </w:r>
      <w:r>
        <w:rPr>
          <w:rFonts w:hint="eastAsia" w:ascii="仿宋_GB2312" w:hAnsi="宋体" w:eastAsia="仿宋_GB2312" w:cs="Segoe UI"/>
          <w:color w:val="333333"/>
          <w:sz w:val="32"/>
          <w:szCs w:val="32"/>
          <w:lang w:eastAsia="zh-CN"/>
        </w:rPr>
        <w:t>提出相应整改要求，通过下发稽查意见书的方式</w:t>
      </w:r>
      <w:r>
        <w:rPr>
          <w:rFonts w:hint="eastAsia" w:ascii="仿宋_GB2312" w:hAnsi="宋体" w:eastAsia="仿宋_GB2312" w:cs="Segoe UI"/>
          <w:color w:val="333333"/>
          <w:sz w:val="32"/>
          <w:szCs w:val="32"/>
        </w:rPr>
        <w:t>督促</w:t>
      </w:r>
      <w:r>
        <w:rPr>
          <w:rFonts w:hint="eastAsia" w:ascii="仿宋_GB2312" w:hAnsi="宋体" w:eastAsia="仿宋_GB2312" w:cs="Segoe UI"/>
          <w:color w:val="333333"/>
          <w:sz w:val="32"/>
          <w:szCs w:val="32"/>
          <w:lang w:eastAsia="zh-CN"/>
        </w:rPr>
        <w:t>相关县（市、区）限时</w:t>
      </w:r>
      <w:r>
        <w:rPr>
          <w:rFonts w:hint="eastAsia" w:ascii="仿宋_GB2312" w:hAnsi="宋体" w:eastAsia="仿宋_GB2312" w:cs="Segoe UI"/>
          <w:color w:val="333333"/>
          <w:sz w:val="32"/>
          <w:szCs w:val="32"/>
        </w:rPr>
        <w:t>落实整改，</w:t>
      </w:r>
      <w:r>
        <w:rPr>
          <w:rFonts w:hint="eastAsia" w:ascii="仿宋_GB2312" w:hAnsi="宋体" w:eastAsia="仿宋_GB2312" w:cs="Segoe UI"/>
          <w:color w:val="333333"/>
          <w:sz w:val="32"/>
          <w:szCs w:val="32"/>
          <w:lang w:eastAsia="zh-CN"/>
        </w:rPr>
        <w:t>确保</w:t>
      </w:r>
      <w:r>
        <w:rPr>
          <w:rFonts w:hint="eastAsia" w:ascii="仿宋_GB2312" w:hAnsi="宋体" w:eastAsia="仿宋_GB2312" w:cs="Segoe UI"/>
          <w:color w:val="333333"/>
          <w:sz w:val="32"/>
          <w:szCs w:val="32"/>
        </w:rPr>
        <w:t>“早稽查、早发现、早整改、早完善”，进一步</w:t>
      </w:r>
      <w:r>
        <w:rPr>
          <w:rFonts w:ascii="仿宋_GB2312" w:hAnsi="宋体" w:eastAsia="仿宋_GB2312" w:cs="Segoe UI"/>
          <w:color w:val="333333"/>
          <w:sz w:val="32"/>
          <w:szCs w:val="32"/>
        </w:rPr>
        <w:t>提</w:t>
      </w:r>
      <w:r>
        <w:rPr>
          <w:rFonts w:hint="eastAsia" w:ascii="仿宋_GB2312" w:hAnsi="宋体" w:eastAsia="仿宋_GB2312" w:cs="Segoe UI"/>
          <w:color w:val="333333"/>
          <w:sz w:val="32"/>
          <w:szCs w:val="32"/>
          <w:lang w:eastAsia="zh-CN"/>
        </w:rPr>
        <w:t>升全市</w:t>
      </w:r>
      <w:r>
        <w:rPr>
          <w:rFonts w:ascii="仿宋_GB2312" w:hAnsi="宋体" w:eastAsia="仿宋_GB2312" w:cs="Segoe UI"/>
          <w:color w:val="333333"/>
          <w:sz w:val="32"/>
          <w:szCs w:val="32"/>
        </w:rPr>
        <w:t>环境执法水平。</w:t>
      </w:r>
      <w:r>
        <w:rPr>
          <w:rFonts w:hint="eastAsia" w:ascii="仿宋_GB2312" w:hAnsi="宋体" w:eastAsia="仿宋_GB2312" w:cs="Segoe UI"/>
          <w:b/>
          <w:bCs/>
          <w:color w:val="333333"/>
          <w:sz w:val="32"/>
          <w:szCs w:val="32"/>
          <w:lang w:eastAsia="zh-CN"/>
        </w:rPr>
        <w:t>三是</w:t>
      </w:r>
      <w:r>
        <w:rPr>
          <w:rFonts w:hint="eastAsia" w:ascii="仿宋_GB2312" w:hAnsi="宋体" w:eastAsia="仿宋_GB2312" w:cs="Segoe UI"/>
          <w:color w:val="333333"/>
          <w:sz w:val="32"/>
          <w:szCs w:val="32"/>
          <w:lang w:eastAsia="zh-CN"/>
        </w:rPr>
        <w:t>增加通报频次，督促落实整改。为督促县区落实省厅督查、市级稽查和抽查案卷存在</w:t>
      </w:r>
      <w:r>
        <w:rPr>
          <w:rFonts w:hint="eastAsia" w:ascii="仿宋_GB2312" w:hAnsi="宋体" w:eastAsia="仿宋_GB2312" w:cs="Segoe UI"/>
          <w:color w:val="333333"/>
          <w:sz w:val="32"/>
          <w:szCs w:val="32"/>
        </w:rPr>
        <w:t>案件卷宗质量参差不齐，与案件评分标准有较大差距</w:t>
      </w:r>
      <w:r>
        <w:rPr>
          <w:rFonts w:hint="eastAsia" w:ascii="仿宋_GB2312" w:hAnsi="宋体" w:eastAsia="仿宋_GB2312" w:cs="Segoe UI"/>
          <w:color w:val="333333"/>
          <w:sz w:val="32"/>
          <w:szCs w:val="32"/>
          <w:lang w:eastAsia="zh-CN"/>
        </w:rPr>
        <w:t>等问题，进一步提升办案积极性，市环保局采取定期发文，不定期网上通报的形式，对各县办案数量、办案质量、整改进展进行排位，整改情况和排位变动情况作为推优参评国家</w:t>
      </w:r>
      <w:r>
        <w:rPr>
          <w:rFonts w:hint="eastAsia" w:ascii="仿宋_GB2312" w:hAnsi="宋体" w:eastAsia="仿宋_GB2312" w:cs="Segoe UI"/>
          <w:color w:val="333333"/>
          <w:sz w:val="32"/>
          <w:szCs w:val="32"/>
          <w:lang w:val="en-US" w:eastAsia="zh-CN"/>
        </w:rPr>
        <w:t>、省级表现突出集体和个人的参考依据</w:t>
      </w:r>
      <w:r>
        <w:rPr>
          <w:rFonts w:hint="eastAsia" w:ascii="仿宋_GB2312" w:hAnsi="宋体" w:eastAsia="仿宋_GB2312" w:cs="Segoe UI"/>
          <w:color w:val="333333"/>
          <w:sz w:val="32"/>
          <w:szCs w:val="32"/>
          <w:lang w:eastAsia="zh-CN"/>
        </w:rPr>
        <w:t>。</w:t>
      </w:r>
    </w:p>
    <w:p>
      <w:pPr>
        <w:spacing w:line="600" w:lineRule="exact"/>
        <w:ind w:firstLine="640" w:firstLineChars="200"/>
        <w:rPr>
          <w:rFonts w:hint="eastAsia" w:ascii="仿宋_GB2312" w:hAnsi="宋体" w:eastAsia="仿宋_GB2312" w:cs="Segoe UI"/>
          <w:color w:val="333333"/>
          <w:sz w:val="32"/>
          <w:szCs w:val="32"/>
          <w:lang w:val="en-US" w:eastAsia="zh-CN"/>
        </w:rPr>
      </w:pPr>
      <w:r>
        <w:rPr>
          <w:rFonts w:hint="eastAsia" w:ascii="黑体" w:hAnsi="黑体" w:eastAsia="黑体"/>
          <w:bCs/>
          <w:color w:val="000000"/>
          <w:sz w:val="32"/>
          <w:szCs w:val="32"/>
          <w:lang w:eastAsia="zh-CN"/>
        </w:rPr>
        <w:t>三、开展业务学习，提升办案技巧。</w:t>
      </w:r>
      <w:r>
        <w:rPr>
          <w:rFonts w:hint="eastAsia" w:ascii="仿宋_GB2312" w:hAnsi="宋体" w:eastAsia="仿宋_GB2312" w:cs="Segoe UI"/>
          <w:color w:val="333333"/>
          <w:sz w:val="32"/>
          <w:szCs w:val="32"/>
          <w:lang w:eastAsia="zh-CN"/>
        </w:rPr>
        <w:t>大练兵期间，市环境监察支队坚持每周开展一期业务交流学习会，执法人员轮流进行主办业务内容授课，展评执法案卷，讨论执法难题，促进共同提高。</w:t>
      </w:r>
      <w:r>
        <w:rPr>
          <w:rFonts w:hint="eastAsia" w:ascii="仿宋_GB2312" w:hAnsi="宋体" w:eastAsia="仿宋_GB2312" w:cs="Segoe UI"/>
          <w:color w:val="333333"/>
          <w:sz w:val="32"/>
          <w:szCs w:val="32"/>
          <w:lang w:val="en-US" w:eastAsia="zh-CN"/>
        </w:rPr>
        <w:t xml:space="preserve"> 例如，某次业务交流学习会，大家讨论了一起某汽车投诉人举报该公司存在非法转移废机油的问题，但现场检查有危废转移联单，有签订危废处置合同，并有相关的台账记录，如何证明企业存在非法转移废机油的行为？大家集思广益，认为可以通过机油销售台账、车辆维护保养记录，车辆销售数量等数据进行综合分析，计算出该公司车辆在本地市场的大概保有量，再结合该公司销售小车日常保养频次，机油用量，综合损耗等数据初步判断该公司一年产生的废矿物油实际量，对照该公司危废转移联单上的废矿物油量是否有出入来确定违法事实。会后，案件经办执法人员前后历时一个多月调取梳理分析各项数据，终于发现存在比较大的出入，以环环相扣的证据和数据分析，让急于辩解的该公司负责人顿时哑口无言，在铁证如山面前，该公司负责人承认错误，接受处罚结果，并积极配合执行，保证一定要合法合规，履行企业环保责任，本案顺利得以执行结案。</w:t>
      </w:r>
    </w:p>
    <w:p>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黑体" w:hAnsi="黑体" w:eastAsia="黑体"/>
          <w:bCs/>
          <w:color w:val="000000"/>
          <w:sz w:val="32"/>
          <w:szCs w:val="32"/>
          <w:lang w:eastAsia="zh-CN"/>
        </w:rPr>
        <w:t>四、加强执法指导，推进案件办理。</w:t>
      </w:r>
      <w:r>
        <w:rPr>
          <w:rFonts w:hint="eastAsia" w:ascii="仿宋_GB2312" w:hAnsi="仿宋_GB2312" w:eastAsia="仿宋_GB2312" w:cs="仿宋_GB2312"/>
          <w:sz w:val="32"/>
          <w:szCs w:val="32"/>
          <w:lang w:val="en-US" w:eastAsia="zh-CN"/>
        </w:rPr>
        <w:t>大练兵期间，市环境监察支队处了做好本级案件的办理外，侧重加强对县区市的案件指导和协调部门联动执法，顺利协助办理了一批具有典型示范作用的指导案件。例如，在协助柘荣办理江某某非法焚烧电子元器件加工点非法处置危险废物污染环境案中，市环境监察支队在协调</w:t>
      </w:r>
    </w:p>
    <w:p>
      <w:pPr>
        <w:adjustRightInd w:val="0"/>
        <w:snapToGrid w:val="0"/>
        <w:spacing w:line="560" w:lineRule="exact"/>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属地政府、市计量部门联系柘荣县计量部门连夜赶赴现场计量称重，为公安机关固定案件证据发挥了重要作用。寿宁县环保局在办理一起通过暗渠排放养殖废水的案件中，由于办案阻力大，现场负责人已逃逸，案件办理陷入僵局，影响了所在乡镇的禁养区拆迁进度。寿宁县环保局向市环保局请示后，市环境监察支队主动作为，第一时间接手该案办理，到属地乡镇府、畜牧站、公安派出所调取该养猪场负责人身份证明，确认违法主体后，克服行政处罚文书送达难题，根据相关法律规定，将此案移送公安机关提起行政拘留。</w:t>
      </w:r>
    </w:p>
    <w:p>
      <w:pPr>
        <w:adjustRightInd w:val="0"/>
        <w:snapToGrid w:val="0"/>
        <w:spacing w:line="560" w:lineRule="exact"/>
        <w:ind w:firstLine="640" w:firstLineChars="200"/>
        <w:rPr>
          <w:rFonts w:hint="eastAsia" w:ascii="仿宋_GB2312" w:hAnsi="仿宋_GB2312" w:eastAsia="仿宋_GB2312" w:cs="仿宋_GB2312"/>
          <w:color w:val="000000"/>
          <w:sz w:val="32"/>
          <w:szCs w:val="32"/>
          <w:lang w:val="en-US" w:eastAsia="zh-CN"/>
        </w:rPr>
      </w:pPr>
      <w:r>
        <w:rPr>
          <w:rFonts w:hint="eastAsia" w:ascii="黑体" w:hAnsi="黑体" w:eastAsia="黑体"/>
          <w:bCs/>
          <w:sz w:val="32"/>
          <w:szCs w:val="32"/>
          <w:lang w:val="en-US" w:eastAsia="zh-CN"/>
        </w:rPr>
        <w:t>五、多措</w:t>
      </w:r>
      <w:r>
        <w:rPr>
          <w:rFonts w:hint="eastAsia" w:ascii="黑体" w:hAnsi="黑体" w:eastAsia="黑体"/>
          <w:bCs/>
          <w:sz w:val="32"/>
          <w:szCs w:val="32"/>
        </w:rPr>
        <w:t>锤炼队伍，</w:t>
      </w:r>
      <w:r>
        <w:rPr>
          <w:rFonts w:hint="eastAsia" w:ascii="黑体" w:hAnsi="黑体" w:eastAsia="黑体"/>
          <w:bCs/>
          <w:sz w:val="32"/>
          <w:szCs w:val="32"/>
          <w:lang w:val="en-US" w:eastAsia="zh-CN"/>
        </w:rPr>
        <w:t>树立</w:t>
      </w:r>
      <w:r>
        <w:rPr>
          <w:rFonts w:hint="eastAsia" w:ascii="黑体" w:hAnsi="黑体" w:eastAsia="黑体"/>
          <w:bCs/>
          <w:sz w:val="32"/>
          <w:szCs w:val="32"/>
        </w:rPr>
        <w:t>先进典型。</w:t>
      </w:r>
      <w:r>
        <w:rPr>
          <w:rFonts w:hint="eastAsia" w:ascii="仿宋_GB2312" w:hAnsi="仿宋_GB2312" w:eastAsia="仿宋_GB2312" w:cs="仿宋_GB2312"/>
          <w:color w:val="000000"/>
          <w:sz w:val="32"/>
          <w:szCs w:val="32"/>
          <w:lang w:eastAsia="zh-CN"/>
        </w:rPr>
        <w:t>大练兵期间，</w:t>
      </w:r>
      <w:r>
        <w:rPr>
          <w:rFonts w:hint="eastAsia" w:ascii="仿宋_GB2312" w:hAnsi="仿宋_GB2312" w:eastAsia="仿宋_GB2312" w:cs="仿宋_GB2312"/>
          <w:color w:val="000000"/>
          <w:sz w:val="32"/>
          <w:szCs w:val="32"/>
          <w:lang w:val="en-US" w:eastAsia="zh-CN"/>
        </w:rPr>
        <w:t>我市积极组织</w:t>
      </w:r>
      <w:r>
        <w:rPr>
          <w:rFonts w:hint="eastAsia" w:ascii="仿宋_GB2312" w:hAnsi="仿宋_GB2312" w:eastAsia="仿宋_GB2312" w:cs="仿宋_GB2312"/>
          <w:color w:val="000000"/>
          <w:sz w:val="32"/>
          <w:szCs w:val="32"/>
          <w:lang w:eastAsia="zh-CN"/>
        </w:rPr>
        <w:t>各</w:t>
      </w:r>
      <w:r>
        <w:rPr>
          <w:rFonts w:hint="eastAsia" w:ascii="仿宋_GB2312" w:hAnsi="仿宋_GB2312" w:eastAsia="仿宋_GB2312" w:cs="仿宋_GB2312"/>
          <w:color w:val="000000"/>
          <w:sz w:val="32"/>
          <w:szCs w:val="32"/>
          <w:lang w:val="en-US" w:eastAsia="zh-CN"/>
        </w:rPr>
        <w:t>县（市区）</w:t>
      </w:r>
      <w:r>
        <w:rPr>
          <w:rFonts w:hint="eastAsia" w:ascii="仿宋_GB2312" w:hAnsi="仿宋_GB2312" w:eastAsia="仿宋_GB2312" w:cs="仿宋_GB2312"/>
          <w:color w:val="000000"/>
          <w:sz w:val="32"/>
          <w:szCs w:val="32"/>
          <w:lang w:eastAsia="zh-CN"/>
        </w:rPr>
        <w:t>选派业务骨干参加生态环境部</w:t>
      </w:r>
      <w:r>
        <w:rPr>
          <w:rFonts w:hint="eastAsia" w:ascii="仿宋_GB2312" w:hAnsi="仿宋_GB2312" w:eastAsia="仿宋_GB2312" w:cs="仿宋_GB2312"/>
          <w:color w:val="000000"/>
          <w:sz w:val="32"/>
          <w:szCs w:val="32"/>
          <w:lang w:val="en-US" w:eastAsia="zh-CN"/>
        </w:rPr>
        <w:t>蓝天保卫战重点区域强化督察、清废行动2018核查“回头看”、长江经济带打击固废环境违法行为等专项督察检查51人，增强争先创优意识，在行动中摸清问题精准发力，适应</w:t>
      </w:r>
      <w:r>
        <w:rPr>
          <w:rFonts w:hint="eastAsia" w:ascii="仿宋_GB2312" w:hAnsi="仿宋_GB2312" w:eastAsia="仿宋_GB2312" w:cs="仿宋_GB2312"/>
          <w:color w:val="000000"/>
          <w:sz w:val="32"/>
          <w:szCs w:val="32"/>
          <w:lang w:eastAsia="zh-CN"/>
        </w:rPr>
        <w:t>变化调整战术，并运用工休错时、昼夜结合等执法方式，充分发挥能吃苦、会战斗、能查善</w:t>
      </w:r>
      <w:r>
        <w:rPr>
          <w:rFonts w:hint="eastAsia" w:ascii="仿宋_GB2312" w:hAnsi="仿宋_GB2312" w:eastAsia="仿宋_GB2312" w:cs="仿宋_GB2312"/>
          <w:color w:val="000000"/>
          <w:sz w:val="32"/>
          <w:szCs w:val="32"/>
          <w:lang w:val="en-US" w:eastAsia="zh-CN"/>
        </w:rPr>
        <w:t>查的</w:t>
      </w:r>
      <w:r>
        <w:rPr>
          <w:rFonts w:hint="eastAsia" w:ascii="仿宋_GB2312" w:hAnsi="仿宋_GB2312" w:eastAsia="仿宋_GB2312" w:cs="仿宋_GB2312"/>
          <w:color w:val="000000"/>
          <w:sz w:val="32"/>
          <w:szCs w:val="32"/>
          <w:lang w:eastAsia="zh-CN"/>
        </w:rPr>
        <w:t>精神，推动被督查城市查处了一大批环境违法案件，较好的完成了国家六大专项行动工作，在蓝天保卫战专项督查工作中，我</w:t>
      </w:r>
      <w:r>
        <w:rPr>
          <w:rFonts w:hint="eastAsia" w:ascii="仿宋_GB2312" w:hAnsi="仿宋_GB2312" w:eastAsia="仿宋_GB2312" w:cs="仿宋_GB2312"/>
          <w:color w:val="000000"/>
          <w:sz w:val="32"/>
          <w:szCs w:val="32"/>
          <w:lang w:val="en-US" w:eastAsia="zh-CN"/>
        </w:rPr>
        <w:t>市</w:t>
      </w:r>
      <w:r>
        <w:rPr>
          <w:rFonts w:hint="eastAsia" w:ascii="仿宋_GB2312" w:hAnsi="仿宋_GB2312" w:eastAsia="仿宋_GB2312" w:cs="仿宋_GB2312"/>
          <w:color w:val="000000"/>
          <w:sz w:val="32"/>
          <w:szCs w:val="32"/>
          <w:lang w:eastAsia="zh-CN"/>
        </w:rPr>
        <w:t>派出的</w:t>
      </w:r>
      <w:r>
        <w:rPr>
          <w:rFonts w:hint="eastAsia" w:ascii="仿宋_GB2312" w:hAnsi="仿宋_GB2312" w:eastAsia="仿宋_GB2312" w:cs="仿宋_GB2312"/>
          <w:color w:val="000000"/>
          <w:sz w:val="32"/>
          <w:szCs w:val="32"/>
          <w:lang w:val="en-US" w:eastAsia="zh-CN"/>
        </w:rPr>
        <w:t>环境执法业务骨干</w:t>
      </w:r>
      <w:r>
        <w:rPr>
          <w:rFonts w:hint="eastAsia" w:ascii="仿宋_GB2312" w:hAnsi="仿宋_GB2312" w:eastAsia="仿宋_GB2312" w:cs="仿宋_GB2312"/>
          <w:color w:val="000000"/>
          <w:sz w:val="32"/>
          <w:szCs w:val="32"/>
          <w:lang w:eastAsia="zh-CN"/>
        </w:rPr>
        <w:t>多点开花，</w:t>
      </w:r>
      <w:r>
        <w:rPr>
          <w:rFonts w:hint="eastAsia" w:ascii="仿宋_GB2312" w:hAnsi="仿宋_GB2312" w:eastAsia="仿宋_GB2312" w:cs="仿宋_GB2312"/>
          <w:color w:val="000000"/>
          <w:sz w:val="32"/>
          <w:szCs w:val="32"/>
          <w:lang w:val="en-US" w:eastAsia="zh-CN"/>
        </w:rPr>
        <w:t>市本级、古田、福安、蕉城、柘荣、屏南等地派出的4批次7名业务骨干因督察工作突出</w:t>
      </w:r>
      <w:r>
        <w:rPr>
          <w:rFonts w:hint="eastAsia" w:ascii="仿宋_GB2312" w:hAnsi="仿宋_GB2312" w:eastAsia="仿宋_GB2312" w:cs="仿宋_GB2312"/>
          <w:color w:val="000000"/>
          <w:sz w:val="32"/>
          <w:szCs w:val="32"/>
          <w:lang w:eastAsia="zh-CN"/>
        </w:rPr>
        <w:t>得到生态环境部表扬，</w:t>
      </w:r>
      <w:r>
        <w:rPr>
          <w:rFonts w:hint="eastAsia" w:ascii="仿宋_GB2312" w:hAnsi="仿宋_GB2312" w:eastAsia="仿宋_GB2312" w:cs="仿宋_GB2312"/>
          <w:color w:val="000000"/>
          <w:sz w:val="32"/>
          <w:szCs w:val="32"/>
          <w:lang w:val="en-US" w:eastAsia="zh-CN"/>
        </w:rPr>
        <w:t>展示了福建环保铁军、宁德环保尖兵的优秀形象值得一提的是，尽管在我市选派的14名业务骨干在长江经济带打击固废环境违法行为行动中仅作为后备执法力量，但该14名同志仍然兢业以待，通过参加培训、查阅相关资料、献言献策、承担部分辅助性工作等方式，发挥了“随时奔赴前线，功成不必在我”的高风亮节精神，在随后的蓝天保卫战督察中，他们积极响应、奋勇争先，取得了良好的成绩；除此之外，我市还积极抽调业务骨干参加</w:t>
      </w:r>
      <w:r>
        <w:rPr>
          <w:rFonts w:hint="eastAsia" w:ascii="仿宋_GB2312" w:hAnsi="仿宋_GB2312" w:eastAsia="仿宋_GB2312" w:cs="仿宋_GB2312"/>
          <w:color w:val="000000"/>
          <w:sz w:val="32"/>
          <w:szCs w:val="32"/>
          <w:lang w:eastAsia="zh-CN"/>
        </w:rPr>
        <w:t>省、市清水蓝天交叉执法检查、“三合一”环保督察</w:t>
      </w:r>
      <w:r>
        <w:rPr>
          <w:rFonts w:hint="eastAsia" w:ascii="仿宋_GB2312" w:hAnsi="仿宋_GB2312" w:eastAsia="仿宋_GB2312" w:cs="仿宋_GB2312"/>
          <w:color w:val="000000" w:themeColor="text1"/>
          <w:sz w:val="32"/>
          <w:szCs w:val="32"/>
          <w:lang w:eastAsia="zh-CN"/>
          <w14:textFill>
            <w14:solidFill>
              <w14:schemeClr w14:val="tx1"/>
            </w14:solidFill>
          </w14:textFill>
        </w:rPr>
        <w:t>等</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sz w:val="32"/>
          <w:szCs w:val="32"/>
          <w:lang w:val="en-US" w:eastAsia="zh-CN"/>
        </w:rPr>
        <w:t>在交叉执法中学习兄弟市、县的好经验、好做法，充分发挥传帮带传统，</w:t>
      </w:r>
      <w:r>
        <w:rPr>
          <w:rFonts w:hint="eastAsia" w:ascii="仿宋_GB2312" w:hAnsi="仿宋_GB2312" w:eastAsia="仿宋_GB2312" w:cs="仿宋_GB2312"/>
          <w:color w:val="000000"/>
          <w:sz w:val="32"/>
          <w:szCs w:val="32"/>
          <w:lang w:eastAsia="zh-CN"/>
        </w:rPr>
        <w:t>加速干部队伍成长，形成</w:t>
      </w:r>
      <w:r>
        <w:rPr>
          <w:rFonts w:hint="eastAsia" w:ascii="仿宋_GB2312" w:hAnsi="仿宋_GB2312" w:eastAsia="仿宋_GB2312" w:cs="仿宋_GB2312"/>
          <w:color w:val="000000"/>
          <w:sz w:val="32"/>
          <w:szCs w:val="32"/>
          <w:lang w:val="en-US" w:eastAsia="zh-CN"/>
        </w:rPr>
        <w:t>市与县、</w:t>
      </w:r>
      <w:r>
        <w:rPr>
          <w:rFonts w:hint="eastAsia" w:ascii="仿宋_GB2312" w:hAnsi="仿宋_GB2312" w:eastAsia="仿宋_GB2312" w:cs="仿宋_GB2312"/>
          <w:color w:val="000000"/>
          <w:sz w:val="32"/>
          <w:szCs w:val="32"/>
          <w:lang w:eastAsia="zh-CN"/>
        </w:rPr>
        <w:t>县与县、</w:t>
      </w:r>
      <w:r>
        <w:rPr>
          <w:rFonts w:hint="eastAsia" w:ascii="仿宋_GB2312" w:hAnsi="仿宋_GB2312" w:eastAsia="仿宋_GB2312" w:cs="仿宋_GB2312"/>
          <w:color w:val="000000"/>
          <w:sz w:val="32"/>
          <w:szCs w:val="32"/>
          <w:lang w:val="en-US" w:eastAsia="zh-CN"/>
        </w:rPr>
        <w:t>领导</w:t>
      </w:r>
      <w:r>
        <w:rPr>
          <w:rFonts w:hint="eastAsia" w:ascii="仿宋_GB2312" w:hAnsi="仿宋_GB2312" w:eastAsia="仿宋_GB2312" w:cs="仿宋_GB2312"/>
          <w:color w:val="000000"/>
          <w:sz w:val="32"/>
          <w:szCs w:val="32"/>
          <w:lang w:eastAsia="zh-CN"/>
        </w:rPr>
        <w:t>与</w:t>
      </w:r>
      <w:r>
        <w:rPr>
          <w:rFonts w:hint="eastAsia" w:ascii="仿宋_GB2312" w:hAnsi="仿宋_GB2312" w:eastAsia="仿宋_GB2312" w:cs="仿宋_GB2312"/>
          <w:color w:val="000000"/>
          <w:sz w:val="32"/>
          <w:szCs w:val="32"/>
          <w:lang w:val="en-US" w:eastAsia="zh-CN"/>
        </w:rPr>
        <w:t>干部、干部与干部</w:t>
      </w:r>
      <w:r>
        <w:rPr>
          <w:rFonts w:hint="eastAsia" w:ascii="仿宋_GB2312" w:hAnsi="仿宋_GB2312" w:eastAsia="仿宋_GB2312" w:cs="仿宋_GB2312"/>
          <w:color w:val="000000"/>
          <w:sz w:val="32"/>
          <w:szCs w:val="32"/>
          <w:lang w:eastAsia="zh-CN"/>
        </w:rPr>
        <w:t>之间“比学赶</w:t>
      </w:r>
      <w:r>
        <w:rPr>
          <w:rFonts w:hint="eastAsia" w:ascii="仿宋_GB2312" w:hAnsi="仿宋_GB2312" w:eastAsia="仿宋_GB2312" w:cs="仿宋_GB2312"/>
          <w:color w:val="000000"/>
          <w:sz w:val="32"/>
          <w:szCs w:val="32"/>
          <w:lang w:val="en-US" w:eastAsia="zh-CN"/>
        </w:rPr>
        <w:t>帮</w:t>
      </w:r>
      <w:r>
        <w:rPr>
          <w:rFonts w:hint="eastAsia" w:ascii="仿宋_GB2312" w:hAnsi="仿宋_GB2312" w:eastAsia="仿宋_GB2312" w:cs="仿宋_GB2312"/>
          <w:color w:val="000000"/>
          <w:sz w:val="32"/>
          <w:szCs w:val="32"/>
          <w:lang w:eastAsia="zh-CN"/>
        </w:rPr>
        <w:t>超”</w:t>
      </w:r>
      <w:r>
        <w:rPr>
          <w:rFonts w:hint="eastAsia" w:ascii="仿宋_GB2312" w:hAnsi="仿宋_GB2312" w:eastAsia="仿宋_GB2312" w:cs="仿宋_GB2312"/>
          <w:color w:val="000000"/>
          <w:sz w:val="32"/>
          <w:szCs w:val="32"/>
          <w:lang w:val="en-US" w:eastAsia="zh-CN"/>
        </w:rPr>
        <w:t>的</w:t>
      </w:r>
      <w:r>
        <w:rPr>
          <w:rFonts w:hint="eastAsia" w:ascii="仿宋_GB2312" w:hAnsi="仿宋_GB2312" w:eastAsia="仿宋_GB2312" w:cs="仿宋_GB2312"/>
          <w:color w:val="000000"/>
          <w:sz w:val="32"/>
          <w:szCs w:val="32"/>
          <w:lang w:eastAsia="zh-CN"/>
        </w:rPr>
        <w:t>良好氛围。</w:t>
      </w:r>
    </w:p>
    <w:p>
      <w:pPr>
        <w:spacing w:line="600" w:lineRule="exact"/>
        <w:ind w:firstLine="640" w:firstLineChars="200"/>
        <w:rPr>
          <w:rFonts w:hint="eastAsia" w:ascii="仿宋_GB2312" w:hAnsi="仿宋_GB2312" w:eastAsia="仿宋_GB2312" w:cs="仿宋_GB2312"/>
          <w:sz w:val="32"/>
          <w:szCs w:val="32"/>
        </w:rPr>
      </w:pPr>
      <w:r>
        <w:rPr>
          <w:rFonts w:hint="eastAsia" w:ascii="黑体" w:hAnsi="黑体" w:eastAsia="黑体"/>
          <w:bCs/>
          <w:sz w:val="32"/>
          <w:szCs w:val="32"/>
          <w:lang w:val="en-US" w:eastAsia="zh-CN"/>
        </w:rPr>
        <w:t>六</w:t>
      </w:r>
      <w:r>
        <w:rPr>
          <w:rFonts w:hint="eastAsia" w:ascii="黑体" w:hAnsi="黑体" w:eastAsia="黑体"/>
          <w:bCs/>
          <w:sz w:val="32"/>
          <w:szCs w:val="32"/>
          <w:lang w:eastAsia="zh-CN"/>
        </w:rPr>
        <w:t>、</w:t>
      </w:r>
      <w:r>
        <w:rPr>
          <w:rFonts w:hint="eastAsia" w:ascii="黑体" w:hAnsi="黑体" w:eastAsia="黑体"/>
          <w:bCs/>
          <w:sz w:val="32"/>
          <w:szCs w:val="32"/>
        </w:rPr>
        <w:t>加大宣</w:t>
      </w:r>
      <w:r>
        <w:rPr>
          <w:rFonts w:hint="eastAsia" w:ascii="黑体" w:hAnsi="黑体" w:eastAsia="黑体"/>
          <w:bCs/>
          <w:color w:val="000000"/>
          <w:sz w:val="32"/>
          <w:szCs w:val="32"/>
        </w:rPr>
        <w:t>传造势，营造良好氛围。</w:t>
      </w:r>
      <w:r>
        <w:rPr>
          <w:rFonts w:hint="eastAsia" w:ascii="仿宋_GB2312" w:hAnsi="仿宋_GB2312" w:eastAsia="仿宋_GB2312" w:cs="仿宋_GB2312"/>
          <w:sz w:val="32"/>
          <w:szCs w:val="32"/>
          <w:lang w:val="en-US" w:eastAsia="zh-CN"/>
        </w:rPr>
        <w:t>在大练兵活动期间，我市组织电视、广播、报纸、网络等新闻媒体做好大练兵的宣传报道，实时宣传当地活动进展和动态；加大典型案件曝光力度，形成声势，向社会传递“严格执法、规范执法”正能量。此外，市环保局还争取到了《闽东日报》开设环保专版，在市局官微开设“环境执法大练兵”、“环境执法一图一故事”专栏深度报道实战比武情况，</w:t>
      </w:r>
      <w:r>
        <w:rPr>
          <w:rFonts w:hint="eastAsia" w:ascii="仿宋_GB2312" w:hAnsi="仿宋_GB2312" w:eastAsia="仿宋_GB2312" w:cs="仿宋_GB2312"/>
          <w:sz w:val="32"/>
          <w:szCs w:val="32"/>
          <w:lang w:eastAsia="zh-CN"/>
        </w:rPr>
        <w:t>充分展示了我市环境执法队伍的良好形象。</w:t>
      </w:r>
      <w:r>
        <w:rPr>
          <w:rFonts w:hint="eastAsia" w:ascii="仿宋_GB2312" w:hAnsi="仿宋_GB2312" w:eastAsia="仿宋_GB2312" w:cs="仿宋_GB2312"/>
          <w:sz w:val="32"/>
          <w:szCs w:val="32"/>
          <w:lang w:val="en-US" w:eastAsia="zh-CN"/>
        </w:rPr>
        <w:t>截至目前，我局共编发并上报大练兵工作简报71篇，在《中国环境报》、福建宁德环保“一网两微”、《闽东日报》、《宁德晚报》、宁德电视台等媒体报道各类执法新闻25篇，引起强烈反响，获得社会各界一致好评</w:t>
      </w:r>
      <w:bookmarkStart w:id="0" w:name="_GoBack"/>
      <w:bookmarkEnd w:id="0"/>
      <w:r>
        <w:rPr>
          <w:rFonts w:hint="eastAsia" w:ascii="仿宋_GB2312" w:hAnsi="仿宋_GB2312" w:eastAsia="仿宋_GB2312" w:cs="仿宋_GB2312"/>
          <w:sz w:val="32"/>
          <w:szCs w:val="32"/>
          <w:lang w:val="en-US" w:eastAsia="zh-CN"/>
        </w:rPr>
        <w:t>。</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方正小标宋简体">
    <w:altName w:val="微软雅黑"/>
    <w:panose1 w:val="02010601030101010101"/>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9162403"/>
    <w:rsid w:val="0001327A"/>
    <w:rsid w:val="00056ACA"/>
    <w:rsid w:val="0006753A"/>
    <w:rsid w:val="00077106"/>
    <w:rsid w:val="000D383B"/>
    <w:rsid w:val="00120494"/>
    <w:rsid w:val="0012319D"/>
    <w:rsid w:val="00124935"/>
    <w:rsid w:val="001735C7"/>
    <w:rsid w:val="001F6972"/>
    <w:rsid w:val="00275AA2"/>
    <w:rsid w:val="002E340C"/>
    <w:rsid w:val="003102F9"/>
    <w:rsid w:val="00312FB4"/>
    <w:rsid w:val="003F383B"/>
    <w:rsid w:val="0049700D"/>
    <w:rsid w:val="004D638F"/>
    <w:rsid w:val="00525056"/>
    <w:rsid w:val="00553F6B"/>
    <w:rsid w:val="0056768D"/>
    <w:rsid w:val="005B7196"/>
    <w:rsid w:val="005D09F3"/>
    <w:rsid w:val="005D387C"/>
    <w:rsid w:val="00631061"/>
    <w:rsid w:val="00677B0A"/>
    <w:rsid w:val="00687AE0"/>
    <w:rsid w:val="006D2848"/>
    <w:rsid w:val="006D67E5"/>
    <w:rsid w:val="00712CE7"/>
    <w:rsid w:val="007405A2"/>
    <w:rsid w:val="00742A8D"/>
    <w:rsid w:val="00775C06"/>
    <w:rsid w:val="007A51C0"/>
    <w:rsid w:val="007B35BA"/>
    <w:rsid w:val="007C68A0"/>
    <w:rsid w:val="00851029"/>
    <w:rsid w:val="00885ECE"/>
    <w:rsid w:val="00926DFB"/>
    <w:rsid w:val="00986051"/>
    <w:rsid w:val="009920BA"/>
    <w:rsid w:val="0099311F"/>
    <w:rsid w:val="009B091A"/>
    <w:rsid w:val="009D1040"/>
    <w:rsid w:val="009E1546"/>
    <w:rsid w:val="00A1297B"/>
    <w:rsid w:val="00AE3979"/>
    <w:rsid w:val="00B52195"/>
    <w:rsid w:val="00B7062D"/>
    <w:rsid w:val="00B7797F"/>
    <w:rsid w:val="00BA1957"/>
    <w:rsid w:val="00BB19C8"/>
    <w:rsid w:val="00C16400"/>
    <w:rsid w:val="00C34B05"/>
    <w:rsid w:val="00D07B3F"/>
    <w:rsid w:val="00DC570E"/>
    <w:rsid w:val="00E30D40"/>
    <w:rsid w:val="00E74D82"/>
    <w:rsid w:val="00EF44CC"/>
    <w:rsid w:val="00F46BB5"/>
    <w:rsid w:val="00F479DD"/>
    <w:rsid w:val="00F60387"/>
    <w:rsid w:val="00FB19AB"/>
    <w:rsid w:val="00FC1A89"/>
    <w:rsid w:val="0ED841D2"/>
    <w:rsid w:val="25F10471"/>
    <w:rsid w:val="29162403"/>
    <w:rsid w:val="30180A24"/>
    <w:rsid w:val="3FD52674"/>
    <w:rsid w:val="435C2691"/>
    <w:rsid w:val="4BC42AA2"/>
    <w:rsid w:val="6BB47963"/>
    <w:rsid w:val="71DB100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华文中宋"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link w:val="5"/>
    <w:unhideWhenUsed/>
    <w:qFormat/>
    <w:uiPriority w:val="1"/>
    <w:rPr>
      <w:rFonts w:ascii="Times New Roman" w:hAnsi="Times New Roman" w:eastAsia="宋体" w:cs="Times New Roman"/>
      <w:sz w:val="21"/>
      <w:szCs w:val="24"/>
    </w:rPr>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customStyle="1" w:styleId="5">
    <w:name w:val=" Char Char Char1 Char Char Char Char Char Char Char Char"/>
    <w:basedOn w:val="1"/>
    <w:link w:val="4"/>
    <w:qFormat/>
    <w:uiPriority w:val="0"/>
    <w:pPr>
      <w:tabs>
        <w:tab w:val="left" w:pos="360"/>
      </w:tabs>
    </w:pPr>
    <w:rPr>
      <w:rFonts w:ascii="Times New Roman" w:hAnsi="Times New Roman" w:eastAsia="宋体" w:cs="Times New Roman"/>
      <w:sz w:val="21"/>
      <w:szCs w:val="24"/>
    </w:rPr>
  </w:style>
  <w:style w:type="character" w:styleId="6">
    <w:name w:val="Strong"/>
    <w:basedOn w:val="4"/>
    <w:qFormat/>
    <w:uiPriority w:val="0"/>
    <w:rPr>
      <w:b/>
    </w:rPr>
  </w:style>
  <w:style w:type="character" w:customStyle="1" w:styleId="8">
    <w:name w:val="页眉 Char"/>
    <w:basedOn w:val="4"/>
    <w:link w:val="3"/>
    <w:qFormat/>
    <w:uiPriority w:val="0"/>
    <w:rPr>
      <w:rFonts w:asciiTheme="minorHAnsi" w:hAnsiTheme="minorHAnsi" w:eastAsiaTheme="minorEastAsia" w:cstheme="minorBidi"/>
      <w:kern w:val="2"/>
      <w:sz w:val="18"/>
      <w:szCs w:val="18"/>
    </w:rPr>
  </w:style>
  <w:style w:type="character" w:customStyle="1" w:styleId="9">
    <w:name w:val="页脚 Char"/>
    <w:basedOn w:val="4"/>
    <w:link w:val="2"/>
    <w:qFormat/>
    <w:uiPriority w:val="0"/>
    <w:rPr>
      <w:rFonts w:asciiTheme="minorHAnsi" w:hAnsiTheme="minorHAnsi" w:eastAsiaTheme="minorEastAsia" w:cstheme="minorBidi"/>
      <w:kern w:val="2"/>
      <w:sz w:val="18"/>
      <w:szCs w:val="18"/>
    </w:rPr>
  </w:style>
  <w:style w:type="paragraph" w:styleId="10">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501</Words>
  <Characters>2858</Characters>
  <Lines>23</Lines>
  <Paragraphs>6</Paragraphs>
  <TotalTime>1</TotalTime>
  <ScaleCrop>false</ScaleCrop>
  <LinksUpToDate>false</LinksUpToDate>
  <CharactersWithSpaces>3353</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2017-11-04T03:10:00Z</dcterms:created>
  <dc:creator>Administrator</dc:creator>
  <cp:lastModifiedBy>游侠儿</cp:lastModifiedBy>
  <dcterms:modified xsi:type="dcterms:W3CDTF">2018-11-29T07:56:45Z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