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left"/>
        <w:rPr>
          <w:rFonts w:ascii="仿宋_GB2312"/>
          <w:szCs w:val="32"/>
        </w:rPr>
      </w:pPr>
    </w:p>
    <w:p>
      <w:pPr>
        <w:spacing w:line="640" w:lineRule="exact"/>
        <w:jc w:val="center"/>
        <w:rPr>
          <w:rFonts w:ascii="方正小标宋简体" w:eastAsia="方正小标宋简体"/>
          <w:sz w:val="44"/>
          <w:szCs w:val="44"/>
        </w:rPr>
      </w:pPr>
      <w:r>
        <w:rPr>
          <w:rFonts w:hint="eastAsia" w:ascii="方正小标宋简体" w:eastAsia="方正小标宋简体"/>
          <w:sz w:val="44"/>
          <w:szCs w:val="44"/>
        </w:rPr>
        <w:t>紧跟步伐  奋力担当</w:t>
      </w:r>
    </w:p>
    <w:p>
      <w:pPr>
        <w:spacing w:line="640" w:lineRule="exact"/>
        <w:jc w:val="center"/>
        <w:rPr>
          <w:rFonts w:ascii="方正小标宋简体" w:eastAsia="方正小标宋简体"/>
          <w:sz w:val="44"/>
          <w:szCs w:val="44"/>
        </w:rPr>
      </w:pPr>
      <w:r>
        <w:rPr>
          <w:rFonts w:hint="eastAsia" w:ascii="方正小标宋简体" w:eastAsia="方正小标宋简体"/>
          <w:sz w:val="44"/>
          <w:szCs w:val="44"/>
        </w:rPr>
        <w:t>烟台市环境监察支队2018年度环境执法</w:t>
      </w:r>
    </w:p>
    <w:p>
      <w:pPr>
        <w:spacing w:line="640" w:lineRule="exact"/>
        <w:jc w:val="center"/>
        <w:rPr>
          <w:rFonts w:ascii="方正小标宋简体" w:eastAsia="方正小标宋简体"/>
          <w:sz w:val="44"/>
          <w:szCs w:val="44"/>
        </w:rPr>
      </w:pPr>
      <w:r>
        <w:rPr>
          <w:rFonts w:hint="eastAsia" w:ascii="方正小标宋简体" w:eastAsia="方正小标宋简体"/>
          <w:sz w:val="44"/>
          <w:szCs w:val="44"/>
        </w:rPr>
        <w:t>大练兵集体事迹材料</w:t>
      </w:r>
    </w:p>
    <w:p>
      <w:pPr>
        <w:jc w:val="center"/>
      </w:pPr>
    </w:p>
    <w:p>
      <w:pPr>
        <w:ind w:firstLine="640" w:firstLineChars="200"/>
        <w:jc w:val="left"/>
        <w:rPr>
          <w:rFonts w:ascii="仿宋_GB2312" w:hAnsi="仿宋" w:eastAsia="仿宋_GB2312"/>
          <w:sz w:val="32"/>
          <w:szCs w:val="32"/>
        </w:rPr>
      </w:pPr>
      <w:r>
        <w:rPr>
          <w:rFonts w:hint="eastAsia" w:ascii="仿宋_GB2312" w:eastAsia="仿宋_GB2312"/>
          <w:sz w:val="32"/>
          <w:szCs w:val="32"/>
        </w:rPr>
        <w:t>2018年烟台市环境监察支队坚持</w:t>
      </w:r>
      <w:r>
        <w:rPr>
          <w:rFonts w:hint="eastAsia" w:ascii="仿宋_GB2312" w:hAnsi="仿宋" w:eastAsia="仿宋_GB2312" w:cs="Times New Roman"/>
          <w:sz w:val="32"/>
          <w:szCs w:val="32"/>
        </w:rPr>
        <w:t>将环境执法大练兵深度融入日常环境执法工作当中，将练兵手段灵活运用于特色专项执法检查行动当中，使</w:t>
      </w:r>
      <w:r>
        <w:rPr>
          <w:rFonts w:hint="eastAsia" w:ascii="仿宋_GB2312" w:hAnsi="仿宋" w:eastAsia="仿宋_GB2312"/>
          <w:sz w:val="32"/>
          <w:szCs w:val="32"/>
        </w:rPr>
        <w:t>思想政治建设与执法职责落实同步抓齐，党员干部队伍建设与执法效能提升相互促进，年度执法练兵工作取得明显成效。截至目前，环境监察支队共出动执法力量5000余人次，检查污染点源1800余家次，面向县级环保部门下达书面督办意见194份次，启动立案处罚建议程序45件次，建议处罚金额3000余万元。全年共组织筹划和牵头实施相约“春节蓝”专项执法检查、护卫生态环境“绿青蓝”环保执法专项检查、高考“静音”行动等特色执法行动7次，烟台日报、烟台广播电视台、胶东在线等主流媒体宣传报道10余次，在全市持续掀起环境执法机构积极参与主动作为，广大人民群众热心关注大力支持的浓厚执法练兵氛围。</w:t>
      </w:r>
    </w:p>
    <w:p>
      <w:pPr>
        <w:jc w:val="left"/>
        <w:rPr>
          <w:rFonts w:ascii="黑体" w:hAnsi="黑体" w:eastAsia="黑体"/>
          <w:sz w:val="32"/>
          <w:szCs w:val="32"/>
        </w:rPr>
      </w:pPr>
      <w:r>
        <w:rPr>
          <w:rFonts w:hint="eastAsia" w:ascii="仿宋_GB2312" w:hAnsi="仿宋" w:eastAsia="仿宋_GB2312"/>
          <w:sz w:val="32"/>
          <w:szCs w:val="32"/>
        </w:rPr>
        <w:t xml:space="preserve">   </w:t>
      </w:r>
      <w:r>
        <w:rPr>
          <w:rFonts w:hint="eastAsia" w:ascii="黑体" w:hAnsi="黑体" w:eastAsia="黑体"/>
          <w:sz w:val="32"/>
          <w:szCs w:val="32"/>
        </w:rPr>
        <w:t xml:space="preserve"> 一、持之以恒地筑牢党风廉政这个“压舱石”</w:t>
      </w:r>
    </w:p>
    <w:p>
      <w:pPr>
        <w:jc w:val="left"/>
        <w:rPr>
          <w:rFonts w:ascii="仿宋_GB2312" w:eastAsia="仿宋_GB2312"/>
          <w:sz w:val="32"/>
          <w:szCs w:val="32"/>
        </w:rPr>
      </w:pPr>
      <w:r>
        <w:rPr>
          <w:rFonts w:hint="eastAsia" w:ascii="仿宋_GB2312" w:hAnsi="仿宋" w:eastAsia="仿宋_GB2312"/>
          <w:sz w:val="32"/>
          <w:szCs w:val="32"/>
        </w:rPr>
        <w:t xml:space="preserve">    明确提出把执法定位为主课主修，党建定位为必考必修，把</w:t>
      </w:r>
      <w:r>
        <w:rPr>
          <w:rFonts w:hint="eastAsia" w:ascii="仿宋_GB2312" w:hAnsi="仿宋" w:eastAsia="仿宋_GB2312" w:cs="Times New Roman"/>
          <w:sz w:val="32"/>
          <w:szCs w:val="32"/>
        </w:rPr>
        <w:t>严守政治纪律和政治规矩作为单位和个人安身立命的“压舱石”，做政治上的明白人和遵规守纪的老实人。</w:t>
      </w:r>
      <w:r>
        <w:rPr>
          <w:rFonts w:hint="eastAsia" w:ascii="仿宋_GB2312" w:hAnsi="仿宋" w:eastAsia="仿宋_GB2312"/>
          <w:sz w:val="32"/>
          <w:szCs w:val="32"/>
        </w:rPr>
        <w:t>每逢重要节假日，均以会议、通知等形式提出党风廉政要求，确保人员放假，规矩不放假，身心放松，思想不放松。</w:t>
      </w:r>
      <w:r>
        <w:rPr>
          <w:rFonts w:hint="eastAsia" w:ascii="仿宋_GB2312" w:eastAsia="仿宋_GB2312"/>
          <w:sz w:val="32"/>
          <w:szCs w:val="32"/>
        </w:rPr>
        <w:t>依托周五理论学习日、道德讲堂、“三会一课”、主题实践等方式和平台，持续抓好党建知识的学习和思想道德品质的锤炼。先后开展了“思·想2018”专题交流会，围绕</w:t>
      </w:r>
      <w:r>
        <w:rPr>
          <w:rFonts w:hint="eastAsia" w:ascii="仿宋_GB2312" w:hAnsi="仿宋" w:eastAsia="仿宋_GB2312" w:cs="Times New Roman"/>
          <w:sz w:val="32"/>
          <w:szCs w:val="32"/>
        </w:rPr>
        <w:t>职业道德和个人品德开展以“立德”为主要内容的专题学习教育</w:t>
      </w:r>
      <w:r>
        <w:rPr>
          <w:rFonts w:hint="eastAsia" w:ascii="仿宋_GB2312" w:hAnsi="仿宋" w:eastAsia="仿宋_GB2312"/>
          <w:sz w:val="32"/>
          <w:szCs w:val="32"/>
        </w:rPr>
        <w:t>，邀请</w:t>
      </w:r>
      <w:r>
        <w:rPr>
          <w:rFonts w:hint="eastAsia" w:ascii="仿宋_GB2312" w:hAnsi="Calibri" w:eastAsia="仿宋_GB2312" w:cs="Times New Roman"/>
          <w:sz w:val="32"/>
          <w:szCs w:val="32"/>
        </w:rPr>
        <w:t>市纪委有关同志</w:t>
      </w:r>
      <w:r>
        <w:rPr>
          <w:rFonts w:hint="eastAsia" w:ascii="仿宋_GB2312" w:hAnsi="仿宋" w:eastAsia="仿宋_GB2312" w:cs="Times New Roman"/>
          <w:sz w:val="32"/>
          <w:szCs w:val="32"/>
        </w:rPr>
        <w:t>讲授廉政党课</w:t>
      </w:r>
      <w:r>
        <w:rPr>
          <w:rFonts w:hint="eastAsia" w:ascii="仿宋_GB2312" w:hAnsi="仿宋" w:eastAsia="仿宋_GB2312"/>
          <w:sz w:val="32"/>
          <w:szCs w:val="32"/>
        </w:rPr>
        <w:t>，筹划开展庆祝</w:t>
      </w:r>
      <w:r>
        <w:rPr>
          <w:rFonts w:hint="eastAsia" w:ascii="仿宋_GB2312" w:hAnsi="仿宋" w:eastAsia="仿宋_GB2312" w:cs="Times New Roman"/>
          <w:sz w:val="32"/>
          <w:szCs w:val="32"/>
        </w:rPr>
        <w:t>“七一”党建</w:t>
      </w:r>
      <w:r>
        <w:rPr>
          <w:rFonts w:hint="eastAsia" w:ascii="仿宋_GB2312" w:hAnsi="仿宋" w:eastAsia="仿宋_GB2312"/>
          <w:sz w:val="32"/>
          <w:szCs w:val="32"/>
        </w:rPr>
        <w:t>诵读红色家书等</w:t>
      </w:r>
      <w:r>
        <w:rPr>
          <w:rFonts w:hint="eastAsia" w:ascii="仿宋_GB2312" w:hAnsi="仿宋" w:eastAsia="仿宋_GB2312" w:cs="Times New Roman"/>
          <w:sz w:val="32"/>
          <w:szCs w:val="32"/>
        </w:rPr>
        <w:t>系列活动</w:t>
      </w:r>
      <w:r>
        <w:rPr>
          <w:rFonts w:hint="eastAsia" w:ascii="仿宋_GB2312" w:hAnsi="仿宋" w:eastAsia="仿宋_GB2312"/>
          <w:sz w:val="32"/>
          <w:szCs w:val="32"/>
        </w:rPr>
        <w:t>。为规范</w:t>
      </w:r>
      <w:r>
        <w:rPr>
          <w:rFonts w:hint="eastAsia" w:ascii="仿宋_GB2312" w:eastAsia="仿宋_GB2312"/>
          <w:sz w:val="32"/>
          <w:szCs w:val="32"/>
        </w:rPr>
        <w:t>推动全面从严治党向基层延伸、向纵深发展，研究制定了</w:t>
      </w:r>
      <w:r>
        <w:rPr>
          <w:rFonts w:hint="eastAsia" w:ascii="仿宋_GB2312" w:hAnsi="仿宋" w:eastAsia="仿宋_GB2312"/>
          <w:sz w:val="32"/>
          <w:szCs w:val="32"/>
        </w:rPr>
        <w:t>《烟台市环境监察支队“争做新时代先锋创建过硬党支部”活动实施方案》，大张旗鼓地进行动员，旗帜鲜明地发出倡议，为</w:t>
      </w:r>
      <w:r>
        <w:rPr>
          <w:rFonts w:hint="eastAsia" w:ascii="仿宋_GB2312" w:eastAsia="仿宋_GB2312"/>
          <w:sz w:val="32"/>
          <w:szCs w:val="32"/>
        </w:rPr>
        <w:t>实现支部全面过硬、党员先锋先进提供有力依托。立足不断规范和约束党员执法队伍的行政行为，突出抓好内控制度的健全完善。先后制定和实施了《关于进一步加强PDA移动执法终端配备使用管理工作的意见》、《烟台市环境监察支队执法车辆管理办法》、《烟台市环境监察支队租赁用车管理制度》、《烟台市环境监察支队内部控制手册》、《烟台市环境监察支队工作人员行为规范》等一系列规章制度，并推行执法人员向企业留置公正廉洁执法《承诺书》，从内部控制与外部监督上为廉政执法扎牢“铁笼子”，建好“防火墙”。</w:t>
      </w:r>
    </w:p>
    <w:p>
      <w:pPr>
        <w:jc w:val="left"/>
        <w:rPr>
          <w:rFonts w:ascii="黑体" w:hAnsi="黑体" w:eastAsia="黑体"/>
          <w:sz w:val="32"/>
          <w:szCs w:val="32"/>
        </w:rPr>
      </w:pPr>
      <w:r>
        <w:rPr>
          <w:rFonts w:hint="eastAsia" w:ascii="仿宋_GB2312" w:hAnsi="仿宋" w:eastAsia="仿宋_GB2312"/>
          <w:sz w:val="32"/>
          <w:szCs w:val="32"/>
        </w:rPr>
        <w:t xml:space="preserve">    </w:t>
      </w:r>
      <w:r>
        <w:rPr>
          <w:rFonts w:hint="eastAsia" w:ascii="黑体" w:hAnsi="黑体" w:eastAsia="黑体"/>
          <w:sz w:val="32"/>
          <w:szCs w:val="32"/>
        </w:rPr>
        <w:t>二、锲而不舍地啃下关键少数这块“硬骨头”</w:t>
      </w:r>
    </w:p>
    <w:p>
      <w:pPr>
        <w:ind w:firstLine="640" w:firstLineChars="200"/>
        <w:rPr>
          <w:rFonts w:ascii="仿宋_GB2312" w:hAnsi="宋体" w:eastAsia="仿宋_GB2312" w:cs="宋体"/>
          <w:color w:val="000000"/>
          <w:kern w:val="0"/>
          <w:sz w:val="32"/>
          <w:szCs w:val="32"/>
          <w:lang w:val="zh-TW" w:bidi="zh-TW"/>
        </w:rPr>
      </w:pPr>
      <w:r>
        <w:rPr>
          <w:rFonts w:hint="eastAsia" w:ascii="仿宋_GB2312" w:eastAsia="仿宋_GB2312"/>
          <w:sz w:val="32"/>
          <w:szCs w:val="32"/>
        </w:rPr>
        <w:t>按照兼顾一般，聚焦重点，持续发力，集中攻坚的思路，做好对重点任务、重要案件和复杂问题的落实查办，并且在复杂矛盾问题的解决中探索方法，总结经验，历练队伍。坚持保护环境与保障民生步调一致，有机统一。针对烟台市热力公司3个供热站</w:t>
      </w:r>
      <w:r>
        <w:rPr>
          <w:rFonts w:hint="eastAsia" w:ascii="仿宋_GB2312" w:hAnsi="宋体" w:eastAsia="仿宋_GB2312" w:cs="宋体"/>
          <w:color w:val="000000"/>
          <w:kern w:val="0"/>
          <w:sz w:val="32"/>
          <w:szCs w:val="32"/>
          <w:lang w:val="zh-TW" w:bidi="zh-TW"/>
        </w:rPr>
        <w:t>涉及大气污染物持续超标排放及不正常运行大气污染防治设施等环境违法问题，先后召集案件审查小组成员召开6次案件审查会，分析案件实情，研究处理措施，制定督办意见；3次召集企业负责人集中座谈通报，听取整改措施，了解整改进度，提出整改要求，</w:t>
      </w:r>
      <w:r>
        <w:rPr>
          <w:rFonts w:hint="eastAsia" w:ascii="仿宋_GB2312" w:hAnsi="宋体" w:eastAsia="仿宋_GB2312" w:cs="宋体"/>
          <w:kern w:val="0"/>
          <w:sz w:val="32"/>
          <w:szCs w:val="32"/>
          <w:lang w:val="zh-TW" w:bidi="zh-TW"/>
        </w:rPr>
        <w:t>对热力公司3个供热站累计处以罚款2000余万元，</w:t>
      </w:r>
      <w:r>
        <w:rPr>
          <w:rFonts w:hint="eastAsia" w:ascii="仿宋_GB2312" w:hAnsi="宋体" w:eastAsia="仿宋_GB2312" w:cs="宋体"/>
          <w:color w:val="000000"/>
          <w:kern w:val="0"/>
          <w:sz w:val="32"/>
          <w:szCs w:val="32"/>
          <w:lang w:val="zh-TW" w:bidi="zh-TW"/>
        </w:rPr>
        <w:t>在执法大练兵实战中锻炼了队伍，积累了经验，体现了威严，</w:t>
      </w:r>
      <w:r>
        <w:rPr>
          <w:rFonts w:hint="eastAsia" w:ascii="仿宋_GB2312" w:hAnsi="宋体" w:eastAsia="仿宋_GB2312" w:cs="宋体"/>
          <w:kern w:val="0"/>
          <w:sz w:val="32"/>
          <w:szCs w:val="32"/>
          <w:lang w:val="zh-TW" w:bidi="zh-TW"/>
        </w:rPr>
        <w:t>也诠释了环境执法支队</w:t>
      </w:r>
      <w:r>
        <w:rPr>
          <w:rFonts w:hint="eastAsia" w:ascii="仿宋_GB2312" w:eastAsia="仿宋_GB2312"/>
          <w:sz w:val="32"/>
          <w:szCs w:val="32"/>
        </w:rPr>
        <w:t>既保温暖、又护天蓝的民生保障理念和环境执法理念</w:t>
      </w:r>
      <w:r>
        <w:rPr>
          <w:rFonts w:hint="eastAsia" w:ascii="仿宋_GB2312" w:hAnsi="宋体" w:eastAsia="仿宋_GB2312" w:cs="宋体"/>
          <w:kern w:val="0"/>
          <w:sz w:val="32"/>
          <w:szCs w:val="32"/>
          <w:lang w:val="zh-TW" w:bidi="zh-TW"/>
        </w:rPr>
        <w:t>。把</w:t>
      </w:r>
      <w:r>
        <w:rPr>
          <w:rFonts w:hint="eastAsia" w:ascii="仿宋_GB2312" w:hAnsi="宋体" w:eastAsia="仿宋_GB2312" w:cs="宋体"/>
          <w:color w:val="000000"/>
          <w:kern w:val="0"/>
          <w:sz w:val="32"/>
          <w:szCs w:val="32"/>
          <w:lang w:val="zh-TW" w:bidi="zh-TW"/>
        </w:rPr>
        <w:t>去年中央环保督察交办问题的涉案企业作为执法落实的重中之重，</w:t>
      </w:r>
      <w:r>
        <w:rPr>
          <w:rFonts w:hint="eastAsia" w:ascii="仿宋_GB2312" w:hAnsi="仿宋" w:eastAsia="仿宋_GB2312" w:cs="Times New Roman"/>
          <w:sz w:val="32"/>
          <w:szCs w:val="32"/>
        </w:rPr>
        <w:t>制定动态检查清单，</w:t>
      </w:r>
      <w:r>
        <w:rPr>
          <w:rFonts w:hint="eastAsia" w:ascii="仿宋_GB2312" w:hAnsi="仿宋" w:eastAsia="仿宋_GB2312"/>
          <w:sz w:val="32"/>
          <w:szCs w:val="32"/>
        </w:rPr>
        <w:t>做好动态进展记录</w:t>
      </w:r>
      <w:r>
        <w:rPr>
          <w:rFonts w:hint="eastAsia" w:ascii="仿宋_GB2312" w:hAnsi="仿宋" w:eastAsia="仿宋_GB2312" w:cs="Times New Roman"/>
          <w:sz w:val="32"/>
          <w:szCs w:val="32"/>
        </w:rPr>
        <w:t>，</w:t>
      </w:r>
      <w:r>
        <w:rPr>
          <w:rFonts w:hint="eastAsia" w:ascii="仿宋_GB2312" w:hAnsi="仿宋" w:eastAsia="仿宋_GB2312"/>
          <w:sz w:val="32"/>
          <w:szCs w:val="32"/>
        </w:rPr>
        <w:t>提出动态监管要求。</w:t>
      </w:r>
      <w:r>
        <w:rPr>
          <w:rFonts w:hint="eastAsia" w:ascii="仿宋_GB2312" w:hAnsi="宋体" w:eastAsia="仿宋_GB2312" w:cs="宋体"/>
          <w:color w:val="000000"/>
          <w:kern w:val="0"/>
          <w:sz w:val="32"/>
          <w:szCs w:val="32"/>
          <w:lang w:val="zh-TW" w:bidi="zh-TW"/>
        </w:rPr>
        <w:t>紧紧盯住个别矛盾大、问题顽固难啃的“硬骨头”企业，采取网格内定向落实与网格间交叉执法、日常监管与专项检查相结合的方式，发挥“齿轮咬合”效应，环环相扣，步步推进，让企业知法明法，服法守法，力求最终消除分歧，妥善解决问题。</w:t>
      </w:r>
    </w:p>
    <w:p>
      <w:pPr>
        <w:ind w:firstLine="640" w:firstLineChars="200"/>
        <w:rPr>
          <w:rFonts w:ascii="黑体" w:hAnsi="黑体" w:eastAsia="黑体"/>
          <w:sz w:val="32"/>
          <w:szCs w:val="32"/>
        </w:rPr>
      </w:pPr>
      <w:r>
        <w:rPr>
          <w:rFonts w:hint="eastAsia" w:ascii="黑体" w:hAnsi="黑体" w:eastAsia="黑体"/>
          <w:sz w:val="32"/>
          <w:szCs w:val="32"/>
        </w:rPr>
        <w:t>三、责无旁贷地挑好急要难重这副“重担子”</w:t>
      </w:r>
    </w:p>
    <w:p>
      <w:pPr>
        <w:jc w:val="left"/>
        <w:rPr>
          <w:rFonts w:ascii="仿宋_GB2312" w:eastAsia="仿宋_GB2312"/>
          <w:sz w:val="32"/>
          <w:szCs w:val="32"/>
        </w:rPr>
      </w:pPr>
      <w:r>
        <w:rPr>
          <w:rFonts w:hint="eastAsia" w:ascii="仿宋_GB2312" w:hAnsi="黑体" w:eastAsia="仿宋_GB2312"/>
          <w:sz w:val="32"/>
          <w:szCs w:val="32"/>
        </w:rPr>
        <w:t xml:space="preserve">   </w:t>
      </w:r>
      <w:r>
        <w:rPr>
          <w:rFonts w:hint="eastAsia" w:ascii="仿宋_GB2312" w:hAnsi="仿宋" w:eastAsia="仿宋_GB2312"/>
          <w:sz w:val="32"/>
          <w:szCs w:val="32"/>
        </w:rPr>
        <w:t xml:space="preserve"> 面对当前的环境监管日益倚重环境执法力量的现实，支队全体执法人员主动负荷起执法监管的一线担当，并在急要难重任务中冲锋在前。牵头拟制了全市护卫生态环境“绿青蓝”环保执法专项检查方案，以支队为主要力量，对</w:t>
      </w:r>
      <w:r>
        <w:rPr>
          <w:rFonts w:hint="eastAsia" w:ascii="仿宋_GB2312" w:hAnsi="Helvetica" w:eastAsia="仿宋_GB2312" w:cs="Helvetica"/>
          <w:color w:val="000000"/>
          <w:kern w:val="0"/>
          <w:sz w:val="32"/>
          <w:szCs w:val="32"/>
        </w:rPr>
        <w:t>全市突出影响空气质量改善、影响重点流域达标和危废规范化管理的三大重点领域开展现场排查，并按照发现问题的类别归口分办，持续跟踪开展再检查、再落实，有效降低了涉水、气、危废环境问题的隐患存量，</w:t>
      </w:r>
      <w:r>
        <w:rPr>
          <w:rFonts w:hint="eastAsia" w:ascii="仿宋_GB2312" w:eastAsia="仿宋_GB2312"/>
          <w:sz w:val="32"/>
          <w:szCs w:val="32"/>
        </w:rPr>
        <w:t>为实施市级环保督察和落实环境保护约谈办法提供依据和参考。5月份以来，</w:t>
      </w:r>
      <w:r>
        <w:rPr>
          <w:rFonts w:hint="eastAsia" w:ascii="仿宋_GB2312" w:hAnsi="Helvetica" w:eastAsia="仿宋_GB2312" w:cs="Helvetica"/>
          <w:color w:val="000000"/>
          <w:kern w:val="0"/>
          <w:sz w:val="32"/>
          <w:szCs w:val="32"/>
        </w:rPr>
        <w:t>为</w:t>
      </w:r>
      <w:r>
        <w:rPr>
          <w:rFonts w:hint="eastAsia" w:ascii="仿宋_GB2312" w:eastAsia="仿宋_GB2312"/>
          <w:sz w:val="32"/>
          <w:szCs w:val="32"/>
        </w:rPr>
        <w:t>保障重点时期的环境管理安全，结合持续开展的环境问题“销号”行动，</w:t>
      </w:r>
      <w:r>
        <w:rPr>
          <w:rFonts w:hint="eastAsia" w:ascii="仿宋_GB2312" w:hAnsi="Helvetica" w:eastAsia="仿宋_GB2312" w:cs="Helvetica"/>
          <w:color w:val="000000"/>
          <w:kern w:val="0"/>
          <w:sz w:val="32"/>
          <w:szCs w:val="32"/>
        </w:rPr>
        <w:t>制定了《市直管企业重点领域和重点行业污染防治专项检查实施方案》，</w:t>
      </w:r>
      <w:r>
        <w:rPr>
          <w:rFonts w:hint="eastAsia" w:ascii="仿宋_GB2312" w:eastAsia="仿宋_GB2312"/>
          <w:sz w:val="32"/>
          <w:szCs w:val="32"/>
        </w:rPr>
        <w:t>对86家市直管企业的大气、水、固废和放射源领域开展了拉网式检查，并采取每日一汇总，每日一上报的方式，及时掌握汇报现场情况。同时配套制定了《重点区域（金沟寨）环境质量工作保障方案》和《2018年度中高考期间环境保障工作方案》，采取全体动员、昼夜排班、定人定岗的办法，全天候待命布控，顺利开启了重点区域敏感时段的“静音消烟”模式。着眼保障人民群众饮用水安全这个要务，根据省厅部署，结合日常执法掌握的实际情况，先后分三个阶段对全市主要集中式饮用水水源地开展“清源”行动，从源头上查找问题，疏堵隐患，为人民群众的安全用水、健康用水负起责任，扛起担当。</w:t>
      </w:r>
    </w:p>
    <w:p>
      <w:pPr>
        <w:jc w:val="left"/>
        <w:rPr>
          <w:rFonts w:ascii="黑体" w:hAnsi="黑体" w:eastAsia="黑体"/>
          <w:sz w:val="32"/>
          <w:szCs w:val="32"/>
        </w:rPr>
      </w:pPr>
      <w:r>
        <w:rPr>
          <w:rFonts w:hint="eastAsia" w:ascii="仿宋_GB2312" w:hAnsi="仿宋" w:eastAsia="仿宋_GB2312"/>
          <w:sz w:val="32"/>
          <w:szCs w:val="32"/>
        </w:rPr>
        <w:t xml:space="preserve">    </w:t>
      </w:r>
      <w:r>
        <w:rPr>
          <w:rFonts w:hint="eastAsia" w:ascii="黑体" w:hAnsi="黑体" w:eastAsia="黑体"/>
          <w:sz w:val="32"/>
          <w:szCs w:val="32"/>
        </w:rPr>
        <w:t>四、与时俱进地捋顺规范执法这个“脉络图”</w:t>
      </w:r>
    </w:p>
    <w:p>
      <w:pPr>
        <w:jc w:val="left"/>
        <w:rPr>
          <w:rFonts w:ascii="仿宋_GB2312" w:eastAsia="仿宋_GB2312"/>
          <w:sz w:val="32"/>
          <w:szCs w:val="32"/>
        </w:rPr>
      </w:pPr>
      <w:r>
        <w:rPr>
          <w:rFonts w:hint="eastAsia" w:ascii="仿宋_GB2312" w:hAnsi="黑体" w:eastAsia="仿宋_GB2312"/>
          <w:sz w:val="32"/>
          <w:szCs w:val="32"/>
        </w:rPr>
        <w:t xml:space="preserve">    </w:t>
      </w:r>
      <w:r>
        <w:rPr>
          <w:rFonts w:hint="eastAsia" w:ascii="仿宋_GB2312" w:eastAsia="仿宋_GB2312"/>
          <w:sz w:val="32"/>
          <w:szCs w:val="32"/>
        </w:rPr>
        <w:t>适应形势任务的发展变化和环境执法的时代要求，不断健全完善和规范改良日常执法监管的模式套路。针对市直管</w:t>
      </w:r>
      <w:r>
        <w:rPr>
          <w:rFonts w:hint="eastAsia" w:ascii="仿宋_GB2312" w:hAnsi="Calibri" w:eastAsia="仿宋_GB2312" w:cs="Times New Roman"/>
          <w:sz w:val="32"/>
          <w:szCs w:val="32"/>
        </w:rPr>
        <w:t>城镇</w:t>
      </w:r>
      <w:r>
        <w:rPr>
          <w:rFonts w:hint="eastAsia" w:ascii="仿宋_GB2312" w:eastAsia="仿宋_GB2312"/>
          <w:sz w:val="32"/>
          <w:szCs w:val="32"/>
        </w:rPr>
        <w:t>污水处理厂</w:t>
      </w:r>
      <w:r>
        <w:rPr>
          <w:rFonts w:hint="eastAsia" w:ascii="仿宋_GB2312" w:hAnsi="Calibri" w:eastAsia="仿宋_GB2312" w:cs="Times New Roman"/>
          <w:sz w:val="32"/>
          <w:szCs w:val="32"/>
        </w:rPr>
        <w:t>进水水质和水量发生重大变化可能导致出水水质超标</w:t>
      </w:r>
      <w:r>
        <w:rPr>
          <w:rFonts w:hint="eastAsia" w:ascii="仿宋_GB2312" w:eastAsia="仿宋_GB2312"/>
          <w:sz w:val="32"/>
          <w:szCs w:val="32"/>
        </w:rPr>
        <w:t>的隐患，专门召集相关企业召开座谈会，共同研究拟订</w:t>
      </w:r>
      <w:r>
        <w:rPr>
          <w:rFonts w:hint="eastAsia" w:ascii="仿宋_GB2312" w:hAnsi="Calibri" w:eastAsia="仿宋_GB2312" w:cs="Times New Roman"/>
          <w:sz w:val="32"/>
          <w:szCs w:val="32"/>
        </w:rPr>
        <w:t>《烟台市城镇污水处理厂环境监管联动工作机制》</w:t>
      </w:r>
      <w:r>
        <w:rPr>
          <w:rFonts w:hint="eastAsia" w:ascii="仿宋_GB2312" w:eastAsia="仿宋_GB2312"/>
          <w:sz w:val="32"/>
          <w:szCs w:val="32"/>
        </w:rPr>
        <w:t>,进一步明确了环保部门和污水集中处理单位的职责任务，构架了双方联通联动的桥梁，对有效处理应急突发状况达成了共识，强化了保障。为持续推动行政执法行为的规范高效和内部程序的顺畅运行，先后研究制定了《市环保督察热线交办案件办理流程》、《</w:t>
      </w:r>
      <w:r>
        <w:rPr>
          <w:rFonts w:hint="eastAsia" w:ascii="仿宋_GB2312" w:hAnsi="Calibri" w:eastAsia="仿宋_GB2312" w:cs="Times New Roman"/>
          <w:sz w:val="32"/>
          <w:szCs w:val="32"/>
        </w:rPr>
        <w:t>环境信访及环境污染举报问题办理内部工作程序</w:t>
      </w:r>
      <w:r>
        <w:rPr>
          <w:rFonts w:hint="eastAsia" w:ascii="仿宋_GB2312" w:eastAsia="仿宋_GB2312"/>
          <w:sz w:val="32"/>
          <w:szCs w:val="32"/>
        </w:rPr>
        <w:t>》、《</w:t>
      </w:r>
      <w:r>
        <w:rPr>
          <w:rFonts w:hint="eastAsia" w:ascii="仿宋_GB2312" w:hAnsi="Calibri" w:eastAsia="仿宋_GB2312" w:cs="Times New Roman"/>
          <w:sz w:val="32"/>
          <w:szCs w:val="32"/>
        </w:rPr>
        <w:t>建筑施工噪声污染投诉举报内部处理工作流程</w:t>
      </w:r>
      <w:r>
        <w:rPr>
          <w:rFonts w:hint="eastAsia" w:ascii="仿宋_GB2312" w:eastAsia="仿宋_GB2312"/>
          <w:sz w:val="32"/>
          <w:szCs w:val="32"/>
        </w:rPr>
        <w:t>》、《规范下达〈责令改正违法行为决定书〉内部工作程序》等内部程序规范，使用执法专项资金配发装备和升级改造了移动式执法记录仪10余部，要求执法检查组在现场检查时必须使用，在强化丰富调查取证手段的同时，也规范了执法人员言行，</w:t>
      </w:r>
      <w:r>
        <w:rPr>
          <w:rFonts w:hint="eastAsia" w:ascii="仿宋_GB2312" w:eastAsia="仿宋_GB2312"/>
          <w:sz w:val="32"/>
          <w:szCs w:val="32"/>
          <w:lang w:val="en-US" w:eastAsia="zh-CN"/>
        </w:rPr>
        <w:t>保障</w:t>
      </w:r>
      <w:r>
        <w:rPr>
          <w:rFonts w:hint="eastAsia" w:ascii="仿宋_GB2312" w:eastAsia="仿宋_GB2312"/>
          <w:sz w:val="32"/>
          <w:szCs w:val="32"/>
        </w:rPr>
        <w:t>了执法人员依法行政。坚持</w:t>
      </w:r>
      <w:r>
        <w:rPr>
          <w:rFonts w:hint="eastAsia" w:ascii="仿宋_GB2312" w:eastAsia="仿宋_GB2312"/>
          <w:sz w:val="32"/>
          <w:szCs w:val="32"/>
        </w:rPr>
        <w:t>在实施“双随机”抽取检查等重点任务时推行“阳光”执法，</w:t>
      </w:r>
      <w:bookmarkStart w:id="0" w:name="_GoBack"/>
      <w:bookmarkEnd w:id="0"/>
      <w:r>
        <w:rPr>
          <w:rFonts w:hint="eastAsia" w:ascii="仿宋_GB2312" w:eastAsia="仿宋_GB2312"/>
          <w:sz w:val="32"/>
          <w:szCs w:val="32"/>
        </w:rPr>
        <w:t>邀请纪检、媒体、企业监督见证和配合参与，为执法人员履职尽责，执法守则提供了行为约束和制度保护。</w:t>
      </w:r>
    </w:p>
    <w:sectPr>
      <w:footerReference r:id="rId3" w:type="default"/>
      <w:footerReference r:id="rId4" w:type="even"/>
      <w:pgSz w:w="11906" w:h="16838"/>
      <w:pgMar w:top="2098" w:right="1474" w:bottom="1985" w:left="1588"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5628542"/>
      <w:docPartObj>
        <w:docPartGallery w:val="autotext"/>
      </w:docPartObj>
    </w:sdtPr>
    <w:sdtEndPr>
      <w:rPr>
        <w:rFonts w:asciiTheme="minorEastAsia" w:hAnsiTheme="minorEastAsia"/>
        <w:sz w:val="28"/>
        <w:szCs w:val="28"/>
      </w:rPr>
    </w:sdtEndPr>
    <w:sdtContent>
      <w:p>
        <w:pPr>
          <w:pStyle w:val="5"/>
          <w:tabs>
            <w:tab w:val="right" w:pos="8505"/>
            <w:tab w:val="clear" w:pos="8306"/>
          </w:tabs>
          <w:ind w:right="55" w:rightChars="26" w:firstLine="7795" w:firstLineChars="4331"/>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1 -</w:t>
        </w:r>
        <w:r>
          <w:rPr>
            <w:rFonts w:asciiTheme="minorEastAsia" w:hAnsiTheme="minorEastAsia"/>
            <w:sz w:val="28"/>
            <w:szCs w:val="28"/>
          </w:rPr>
          <w:fldChar w:fldCharType="end"/>
        </w:r>
      </w:p>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0969003"/>
      <w:docPartObj>
        <w:docPartGallery w:val="autotext"/>
      </w:docPartObj>
    </w:sdtPr>
    <w:sdtEndPr>
      <w:rPr>
        <w:rFonts w:asciiTheme="minorEastAsia" w:hAnsiTheme="minorEastAsia"/>
        <w:sz w:val="28"/>
        <w:szCs w:val="28"/>
      </w:rPr>
    </w:sdtEndPr>
    <w:sdtContent>
      <w:p>
        <w:pPr>
          <w:pStyle w:val="5"/>
          <w:tabs>
            <w:tab w:val="right" w:pos="8505"/>
            <w:tab w:val="clear" w:pos="8306"/>
          </w:tabs>
          <w:ind w:right="55" w:rightChars="26" w:firstLine="282" w:firstLineChars="157"/>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4 -</w:t>
        </w:r>
        <w:r>
          <w:rPr>
            <w:rFonts w:asciiTheme="minorEastAsia" w:hAnsiTheme="minorEastAsia"/>
            <w:sz w:val="28"/>
            <w:szCs w:val="28"/>
          </w:rPr>
          <w:fldChar w:fldCharType="end"/>
        </w:r>
      </w:p>
    </w:sdtContent>
  </w:sdt>
  <w:p>
    <w:pPr>
      <w:pStyle w:val="5"/>
      <w:tabs>
        <w:tab w:val="right" w:pos="8505"/>
        <w:tab w:val="clear" w:pos="8306"/>
      </w:tabs>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D4B1CD1"/>
    <w:rsid w:val="00000176"/>
    <w:rsid w:val="00000465"/>
    <w:rsid w:val="000015FD"/>
    <w:rsid w:val="000420EF"/>
    <w:rsid w:val="00061ED2"/>
    <w:rsid w:val="000963DD"/>
    <w:rsid w:val="000C04DD"/>
    <w:rsid w:val="0012482F"/>
    <w:rsid w:val="0013376B"/>
    <w:rsid w:val="00134438"/>
    <w:rsid w:val="00171669"/>
    <w:rsid w:val="00173553"/>
    <w:rsid w:val="00174945"/>
    <w:rsid w:val="00187328"/>
    <w:rsid w:val="0019035E"/>
    <w:rsid w:val="001A26D4"/>
    <w:rsid w:val="001B4B0B"/>
    <w:rsid w:val="001F49DC"/>
    <w:rsid w:val="00225349"/>
    <w:rsid w:val="002271F9"/>
    <w:rsid w:val="002301C1"/>
    <w:rsid w:val="002504FA"/>
    <w:rsid w:val="00264379"/>
    <w:rsid w:val="00267EAC"/>
    <w:rsid w:val="00297A7F"/>
    <w:rsid w:val="002E4445"/>
    <w:rsid w:val="00306171"/>
    <w:rsid w:val="00335EC2"/>
    <w:rsid w:val="00363E48"/>
    <w:rsid w:val="00367115"/>
    <w:rsid w:val="00392C08"/>
    <w:rsid w:val="003A517A"/>
    <w:rsid w:val="003C3DDF"/>
    <w:rsid w:val="003D41F9"/>
    <w:rsid w:val="003D6374"/>
    <w:rsid w:val="003F247B"/>
    <w:rsid w:val="003F2A93"/>
    <w:rsid w:val="00433300"/>
    <w:rsid w:val="004528C1"/>
    <w:rsid w:val="00470E03"/>
    <w:rsid w:val="004B414C"/>
    <w:rsid w:val="004C2697"/>
    <w:rsid w:val="004C5E3D"/>
    <w:rsid w:val="004D2804"/>
    <w:rsid w:val="00504DE6"/>
    <w:rsid w:val="005206FF"/>
    <w:rsid w:val="005431C3"/>
    <w:rsid w:val="005E2C92"/>
    <w:rsid w:val="005F16CA"/>
    <w:rsid w:val="005F2DDE"/>
    <w:rsid w:val="0060187E"/>
    <w:rsid w:val="00604C94"/>
    <w:rsid w:val="006071F6"/>
    <w:rsid w:val="006267D2"/>
    <w:rsid w:val="0062756A"/>
    <w:rsid w:val="0063397F"/>
    <w:rsid w:val="00635005"/>
    <w:rsid w:val="00641ED0"/>
    <w:rsid w:val="0064420B"/>
    <w:rsid w:val="00693AE1"/>
    <w:rsid w:val="006A08D0"/>
    <w:rsid w:val="006B3427"/>
    <w:rsid w:val="006E1CB6"/>
    <w:rsid w:val="006E2F2D"/>
    <w:rsid w:val="006E47D6"/>
    <w:rsid w:val="006E5D9D"/>
    <w:rsid w:val="00706D20"/>
    <w:rsid w:val="007235E6"/>
    <w:rsid w:val="0073560F"/>
    <w:rsid w:val="007369D7"/>
    <w:rsid w:val="00751FCC"/>
    <w:rsid w:val="00753D4F"/>
    <w:rsid w:val="00771472"/>
    <w:rsid w:val="007A46F2"/>
    <w:rsid w:val="007D1270"/>
    <w:rsid w:val="007E45ED"/>
    <w:rsid w:val="007F4989"/>
    <w:rsid w:val="00856E56"/>
    <w:rsid w:val="008645C4"/>
    <w:rsid w:val="0087253D"/>
    <w:rsid w:val="008734FF"/>
    <w:rsid w:val="00880169"/>
    <w:rsid w:val="008807D5"/>
    <w:rsid w:val="00884038"/>
    <w:rsid w:val="00894EE0"/>
    <w:rsid w:val="008956B9"/>
    <w:rsid w:val="008B4A12"/>
    <w:rsid w:val="008C1F90"/>
    <w:rsid w:val="008E02D0"/>
    <w:rsid w:val="008F4AE0"/>
    <w:rsid w:val="008F671F"/>
    <w:rsid w:val="00902D29"/>
    <w:rsid w:val="00911441"/>
    <w:rsid w:val="00917336"/>
    <w:rsid w:val="009223FB"/>
    <w:rsid w:val="00950C83"/>
    <w:rsid w:val="00965649"/>
    <w:rsid w:val="00965C86"/>
    <w:rsid w:val="009B23A7"/>
    <w:rsid w:val="009B2548"/>
    <w:rsid w:val="009D5FD3"/>
    <w:rsid w:val="00A42FCA"/>
    <w:rsid w:val="00A6261B"/>
    <w:rsid w:val="00A72B7A"/>
    <w:rsid w:val="00AA6C45"/>
    <w:rsid w:val="00AA7BEE"/>
    <w:rsid w:val="00AC1BD1"/>
    <w:rsid w:val="00AD162A"/>
    <w:rsid w:val="00AD3270"/>
    <w:rsid w:val="00B12845"/>
    <w:rsid w:val="00B15EAA"/>
    <w:rsid w:val="00B2747C"/>
    <w:rsid w:val="00B469B2"/>
    <w:rsid w:val="00B87755"/>
    <w:rsid w:val="00B96761"/>
    <w:rsid w:val="00BD3618"/>
    <w:rsid w:val="00C42F5A"/>
    <w:rsid w:val="00C53507"/>
    <w:rsid w:val="00C573B8"/>
    <w:rsid w:val="00CC11B6"/>
    <w:rsid w:val="00CC2559"/>
    <w:rsid w:val="00CD1C98"/>
    <w:rsid w:val="00D05CB0"/>
    <w:rsid w:val="00D20B73"/>
    <w:rsid w:val="00D31405"/>
    <w:rsid w:val="00D35E44"/>
    <w:rsid w:val="00D66695"/>
    <w:rsid w:val="00DA62DB"/>
    <w:rsid w:val="00DC5F2B"/>
    <w:rsid w:val="00DC72A1"/>
    <w:rsid w:val="00DE28CA"/>
    <w:rsid w:val="00DF13E2"/>
    <w:rsid w:val="00E1447D"/>
    <w:rsid w:val="00E14CEE"/>
    <w:rsid w:val="00E47216"/>
    <w:rsid w:val="00E524D6"/>
    <w:rsid w:val="00E56DED"/>
    <w:rsid w:val="00E72A3A"/>
    <w:rsid w:val="00E81C8E"/>
    <w:rsid w:val="00E96F2F"/>
    <w:rsid w:val="00EA35EF"/>
    <w:rsid w:val="00EA5FEA"/>
    <w:rsid w:val="00EB2543"/>
    <w:rsid w:val="00ED3286"/>
    <w:rsid w:val="00EE126D"/>
    <w:rsid w:val="00F72330"/>
    <w:rsid w:val="00F919CB"/>
    <w:rsid w:val="00FA0639"/>
    <w:rsid w:val="00FA44F6"/>
    <w:rsid w:val="00FB05F9"/>
    <w:rsid w:val="00FB37FD"/>
    <w:rsid w:val="00FD273B"/>
    <w:rsid w:val="00FD4B05"/>
    <w:rsid w:val="00FE35EE"/>
    <w:rsid w:val="00FE70E4"/>
    <w:rsid w:val="0D4B1CD1"/>
    <w:rsid w:val="20022323"/>
    <w:rsid w:val="74DD0F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5"/>
    <w:uiPriority w:val="0"/>
    <w:rPr>
      <w:rFonts w:ascii="宋体" w:eastAsia="宋体"/>
      <w:sz w:val="18"/>
      <w:szCs w:val="18"/>
    </w:rPr>
  </w:style>
  <w:style w:type="paragraph" w:styleId="3">
    <w:name w:val="Date"/>
    <w:basedOn w:val="1"/>
    <w:next w:val="1"/>
    <w:link w:val="12"/>
    <w:uiPriority w:val="0"/>
    <w:pPr>
      <w:ind w:left="100" w:leftChars="2500"/>
    </w:pPr>
  </w:style>
  <w:style w:type="paragraph" w:styleId="4">
    <w:name w:val="Balloon Text"/>
    <w:basedOn w:val="1"/>
    <w:link w:val="13"/>
    <w:uiPriority w:val="0"/>
    <w:rPr>
      <w:sz w:val="18"/>
      <w:szCs w:val="18"/>
    </w:rPr>
  </w:style>
  <w:style w:type="paragraph" w:styleId="5">
    <w:name w:val="footer"/>
    <w:basedOn w:val="1"/>
    <w:link w:val="10"/>
    <w:uiPriority w:val="99"/>
    <w:pPr>
      <w:tabs>
        <w:tab w:val="center" w:pos="4153"/>
        <w:tab w:val="right" w:pos="8306"/>
      </w:tabs>
      <w:snapToGrid w:val="0"/>
      <w:jc w:val="left"/>
    </w:pPr>
    <w:rPr>
      <w:sz w:val="18"/>
      <w:szCs w:val="18"/>
    </w:rPr>
  </w:style>
  <w:style w:type="paragraph" w:styleId="6">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7"/>
    <w:link w:val="6"/>
    <w:qFormat/>
    <w:uiPriority w:val="0"/>
    <w:rPr>
      <w:kern w:val="2"/>
      <w:sz w:val="18"/>
      <w:szCs w:val="18"/>
    </w:rPr>
  </w:style>
  <w:style w:type="character" w:customStyle="1" w:styleId="10">
    <w:name w:val="页脚 Char"/>
    <w:basedOn w:val="7"/>
    <w:link w:val="5"/>
    <w:qFormat/>
    <w:uiPriority w:val="99"/>
    <w:rPr>
      <w:kern w:val="2"/>
      <w:sz w:val="18"/>
      <w:szCs w:val="18"/>
    </w:rPr>
  </w:style>
  <w:style w:type="paragraph" w:styleId="11">
    <w:name w:val="List Paragraph"/>
    <w:basedOn w:val="1"/>
    <w:unhideWhenUsed/>
    <w:qFormat/>
    <w:uiPriority w:val="99"/>
    <w:pPr>
      <w:ind w:firstLine="420" w:firstLineChars="200"/>
    </w:pPr>
  </w:style>
  <w:style w:type="character" w:customStyle="1" w:styleId="12">
    <w:name w:val="日期 Char"/>
    <w:basedOn w:val="7"/>
    <w:link w:val="3"/>
    <w:uiPriority w:val="0"/>
    <w:rPr>
      <w:kern w:val="2"/>
      <w:sz w:val="21"/>
      <w:szCs w:val="24"/>
    </w:rPr>
  </w:style>
  <w:style w:type="character" w:customStyle="1" w:styleId="13">
    <w:name w:val="批注框文本 Char"/>
    <w:basedOn w:val="7"/>
    <w:link w:val="4"/>
    <w:uiPriority w:val="0"/>
    <w:rPr>
      <w:kern w:val="2"/>
      <w:sz w:val="18"/>
      <w:szCs w:val="18"/>
    </w:rPr>
  </w:style>
  <w:style w:type="paragraph" w:customStyle="1" w:styleId="14">
    <w:name w:val="Char"/>
    <w:uiPriority w:val="0"/>
    <w:pPr>
      <w:shd w:val="clear" w:color="auto" w:fill="000080"/>
      <w:spacing w:line="360" w:lineRule="auto"/>
      <w:ind w:firstLine="480" w:firstLineChars="200"/>
    </w:pPr>
    <w:rPr>
      <w:rFonts w:ascii="Tahoma" w:hAnsi="Tahoma" w:eastAsia="宋体" w:cs="Times New Roman"/>
      <w:sz w:val="24"/>
      <w:szCs w:val="21"/>
      <w:lang w:val="en-US" w:eastAsia="zh-CN" w:bidi="ar-SA"/>
    </w:rPr>
  </w:style>
  <w:style w:type="character" w:customStyle="1" w:styleId="15">
    <w:name w:val="文档结构图 Char"/>
    <w:basedOn w:val="7"/>
    <w:link w:val="2"/>
    <w:qFormat/>
    <w:uiPriority w:val="0"/>
    <w:rPr>
      <w:rFonts w:ascii="宋体" w:eastAsia="宋体"/>
      <w:kern w:val="2"/>
      <w:sz w:val="18"/>
      <w:szCs w:val="18"/>
    </w:rPr>
  </w:style>
  <w:style w:type="paragraph" w:customStyle="1" w:styleId="16">
    <w:name w:val="Char1"/>
    <w:basedOn w:val="2"/>
    <w:uiPriority w:val="0"/>
    <w:pPr>
      <w:shd w:val="clear" w:color="auto" w:fill="000080"/>
      <w:spacing w:line="360" w:lineRule="auto"/>
      <w:ind w:firstLine="480" w:firstLineChars="200"/>
    </w:pPr>
    <w:rPr>
      <w:rFonts w:ascii="Tahoma" w:hAnsi="Tahoma" w:cs="Times New Roman"/>
      <w:sz w:val="24"/>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418507-A79C-4579-9624-09307349471C}">
  <ds:schemaRefs/>
</ds:datastoreItem>
</file>

<file path=docProps/app.xml><?xml version="1.0" encoding="utf-8"?>
<Properties xmlns="http://schemas.openxmlformats.org/officeDocument/2006/extended-properties" xmlns:vt="http://schemas.openxmlformats.org/officeDocument/2006/docPropsVTypes">
  <Template>Normal</Template>
  <Pages>5</Pages>
  <Words>390</Words>
  <Characters>2228</Characters>
  <Lines>18</Lines>
  <Paragraphs>5</Paragraphs>
  <TotalTime>726</TotalTime>
  <ScaleCrop>false</ScaleCrop>
  <LinksUpToDate>false</LinksUpToDate>
  <CharactersWithSpaces>2613</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2018-03-25T02:28:00Z</dcterms:created>
  <dc:creator>鹿小鹿</dc:creator>
  <cp:lastModifiedBy>王赛</cp:lastModifiedBy>
  <cp:lastPrinted>2018-04-23T08:03:00Z</cp:lastPrinted>
  <dcterms:modified xsi:type="dcterms:W3CDTF">2018-12-17T13:49:12Z</dcterms:modified>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