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1320" w:firstLineChars="300"/>
        <w:jc w:val="left"/>
        <w:textAlignment w:val="auto"/>
        <w:outlineLvl w:val="9"/>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lang w:eastAsia="zh-CN"/>
        </w:rPr>
        <w:t>环境执法大练兵先进事迹材料</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880" w:firstLineChars="200"/>
        <w:jc w:val="left"/>
        <w:textAlignment w:val="auto"/>
        <w:outlineLvl w:val="9"/>
        <w:rPr>
          <w:rFonts w:hint="eastAsia" w:ascii="Calibri" w:hAnsi="Calibri" w:eastAsia="仿宋_GB2312" w:cs="仿宋_GB2312"/>
          <w:color w:val="auto"/>
          <w:spacing w:val="-6"/>
          <w:kern w:val="0"/>
          <w:sz w:val="28"/>
          <w:szCs w:val="28"/>
          <w:lang w:val="en-US" w:eastAsia="zh-CN" w:bidi="ar-SA"/>
        </w:rPr>
      </w:pPr>
      <w:r>
        <w:rPr>
          <w:rFonts w:hint="eastAsia" w:ascii="方正小标宋简体" w:hAnsi="方正小标宋简体" w:eastAsia="方正小标宋简体" w:cs="方正小标宋简体"/>
          <w:b w:val="0"/>
          <w:bCs w:val="0"/>
          <w:color w:val="auto"/>
          <w:sz w:val="44"/>
          <w:szCs w:val="44"/>
          <w:lang w:val="en-US" w:eastAsia="zh-CN"/>
        </w:rPr>
        <w:t xml:space="preserve">  </w:t>
      </w:r>
      <w:r>
        <w:rPr>
          <w:rFonts w:hint="eastAsia" w:ascii="Calibri" w:hAnsi="Calibri" w:eastAsia="仿宋_GB2312" w:cs="仿宋_GB2312"/>
          <w:color w:val="auto"/>
          <w:spacing w:val="-6"/>
          <w:kern w:val="0"/>
          <w:sz w:val="28"/>
          <w:szCs w:val="28"/>
          <w:lang w:val="en-US" w:eastAsia="zh-CN" w:bidi="ar-SA"/>
        </w:rPr>
        <w:t xml:space="preserve"> </w:t>
      </w:r>
      <w:r>
        <w:rPr>
          <w:rFonts w:hint="eastAsia" w:eastAsia="仿宋_GB2312" w:cs="仿宋_GB2312"/>
          <w:color w:val="auto"/>
          <w:spacing w:val="-6"/>
          <w:kern w:val="0"/>
          <w:sz w:val="28"/>
          <w:szCs w:val="28"/>
          <w:lang w:val="en-US" w:eastAsia="zh-CN" w:bidi="ar-SA"/>
        </w:rPr>
        <w:t>----</w:t>
      </w:r>
      <w:r>
        <w:rPr>
          <w:rFonts w:hint="eastAsia" w:ascii="Calibri" w:hAnsi="Calibri" w:eastAsia="仿宋_GB2312" w:cs="仿宋_GB2312"/>
          <w:color w:val="auto"/>
          <w:spacing w:val="-6"/>
          <w:kern w:val="0"/>
          <w:sz w:val="28"/>
          <w:szCs w:val="28"/>
          <w:lang w:val="en-US" w:eastAsia="zh-CN" w:bidi="ar-SA"/>
        </w:rPr>
        <w:t>顺德区以打促建，强力整治环境违法行为</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b w:val="0"/>
          <w:bCs w:val="0"/>
          <w:sz w:val="32"/>
          <w:szCs w:val="32"/>
          <w:lang w:val="en-US" w:eastAsia="zh-CN"/>
        </w:rPr>
        <w:t>今年以来，顺德区将村级工业园提升整治作为“头号工程”部署，顺德区环保部门</w:t>
      </w:r>
      <w:r>
        <w:rPr>
          <w:rFonts w:hint="eastAsia" w:ascii="仿宋_GB2312" w:hAnsi="仿宋_GB2312" w:eastAsia="仿宋_GB2312" w:cs="仿宋_GB2312"/>
          <w:sz w:val="32"/>
          <w:szCs w:val="32"/>
          <w:lang w:val="en-US" w:eastAsia="zh-CN"/>
        </w:rPr>
        <w:t>主动对标村级工业园改造“三年行动计划”，总结运用“一村一策”和“双达标”工作经验，持续推动村级工业园环境整治，以强执法倒逼整改提升成效，取得一定的效果，相关情况如下</w:t>
      </w:r>
      <w:r>
        <w:rPr>
          <w:rFonts w:hint="eastAsia" w:ascii="仿宋_GB2312" w:hAnsi="仿宋_GB2312" w:eastAsia="仿宋_GB2312" w:cs="仿宋_GB2312"/>
          <w:bCs/>
          <w:color w:val="auto"/>
          <w:sz w:val="32"/>
          <w:szCs w:val="32"/>
          <w:u w:val="none"/>
          <w:lang w:eastAsia="zh-CN"/>
        </w:rPr>
        <w:t>：</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执法总体工作情况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pacing w:val="-6"/>
          <w:kern w:val="0"/>
          <w:sz w:val="32"/>
          <w:szCs w:val="32"/>
          <w:lang w:val="en-US" w:eastAsia="zh-CN" w:bidi="ar-SA"/>
        </w:rPr>
        <w:t>截至2018年10月，我区成功移送环保刑事案件25宗，刑事拘留31人，根据新《环保法》移送行政拘留案件44宗，行政拘留24人。通过多措并举强化环境监察执法。全区累计出动执法（检查）人员47914人次，检查企业17185家次，共立案949宗，罚款8390.68万元；强制执行环保“老赖”147宗，实施查封扣押54宗，实施限制生产、停产整治4宗，移送行政拘留44宗。</w:t>
      </w:r>
      <w:r>
        <w:rPr>
          <w:rFonts w:hint="eastAsia" w:ascii="仿宋_GB2312" w:hAnsi="仿宋_GB2312" w:eastAsia="仿宋_GB2312" w:cs="仿宋_GB2312"/>
          <w:sz w:val="32"/>
          <w:szCs w:val="32"/>
          <w:lang w:val="en-US" w:eastAsia="zh-CN"/>
        </w:rPr>
        <w:t>今年9月，生态环境部通报了1—8月全国环境行政处罚案件办理情况，顺德区环境行政处罚案件数量和行政处罚金额均位列全国县（区）第二名，顺德区环保部门通过强有力的环境监察工作，有效地打击了环境违法行为。</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执法工作特色</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3" w:firstLineChars="200"/>
        <w:jc w:val="left"/>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val="0"/>
          <w:color w:val="auto"/>
          <w:sz w:val="32"/>
          <w:szCs w:val="32"/>
          <w:u w:val="none"/>
          <w:lang w:eastAsia="zh-CN"/>
        </w:rPr>
        <w:t>一是</w:t>
      </w:r>
      <w:r>
        <w:rPr>
          <w:rFonts w:hint="eastAsia" w:ascii="仿宋_GB2312" w:hAnsi="仿宋_GB2312" w:eastAsia="仿宋_GB2312" w:cs="仿宋_GB2312"/>
          <w:b/>
          <w:bCs w:val="0"/>
          <w:sz w:val="32"/>
          <w:szCs w:val="32"/>
          <w:lang w:val="en-US" w:eastAsia="zh-CN"/>
        </w:rPr>
        <w:t>强</w:t>
      </w:r>
      <w:r>
        <w:rPr>
          <w:rFonts w:hint="eastAsia" w:ascii="仿宋_GB2312" w:hAnsi="仿宋_GB2312" w:eastAsia="仿宋_GB2312" w:cs="仿宋_GB2312"/>
          <w:b/>
          <w:bCs/>
          <w:sz w:val="32"/>
          <w:szCs w:val="32"/>
          <w:lang w:val="en-US" w:eastAsia="zh-CN"/>
        </w:rPr>
        <w:t>化多手段专项执法。</w:t>
      </w:r>
      <w:r>
        <w:rPr>
          <w:rFonts w:hint="eastAsia" w:ascii="仿宋_GB2312" w:hAnsi="仿宋_GB2312" w:eastAsia="仿宋_GB2312" w:cs="仿宋_GB2312"/>
          <w:sz w:val="32"/>
          <w:szCs w:val="32"/>
          <w:lang w:val="en-US" w:eastAsia="zh-CN"/>
        </w:rPr>
        <w:t>制定专项执法行动方案，落实专责组专人专责，对村级工业园</w:t>
      </w:r>
      <w:r>
        <w:rPr>
          <w:rFonts w:hint="eastAsia" w:ascii="仿宋_GB2312" w:hAnsi="仿宋_GB2312" w:eastAsia="仿宋_GB2312" w:cs="仿宋_GB2312"/>
          <w:sz w:val="32"/>
          <w:szCs w:val="32"/>
          <w:shd w:val="clear" w:color="auto" w:fill="FFFFFF"/>
          <w:lang w:val="en-US" w:eastAsia="zh-CN"/>
        </w:rPr>
        <w:t>区</w:t>
      </w:r>
      <w:r>
        <w:rPr>
          <w:rFonts w:hint="eastAsia" w:ascii="仿宋_GB2312" w:hAnsi="仿宋_GB2312" w:eastAsia="仿宋_GB2312" w:cs="仿宋_GB2312"/>
          <w:sz w:val="32"/>
          <w:szCs w:val="32"/>
          <w:lang w:val="en-US" w:eastAsia="zh-CN"/>
        </w:rPr>
        <w:t>实行“严打促建、打建结合”和“严查追责、一案多查”，加强整治高能耗、高水耗、高污染排放企业，严惩不正常运行治理设施、规避监管、超标违规排放等环境污染行为，严查工业企业环境违法行为，查处出租物业连带责任，查处环保中介机构弄虚作假、隐瞒或协助企业环境违法行为，查处村居、镇街或部门的环保违规履职情况，以“壮士断腕”的决心坚决淘汰落后产能，建立联合惩戒措施，定期公开曝光“黑色物业”，全面清理环境违法行为链条。</w:t>
      </w:r>
      <w:r>
        <w:rPr>
          <w:rFonts w:hint="eastAsia" w:ascii="仿宋_GB2312" w:hAnsi="仿宋_GB2312" w:eastAsia="仿宋_GB2312" w:cs="仿宋_GB2312"/>
          <w:sz w:val="32"/>
          <w:szCs w:val="32"/>
        </w:rPr>
        <w:t>实行全员督查</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全员执法制度，</w:t>
      </w:r>
      <w:r>
        <w:rPr>
          <w:rFonts w:hint="eastAsia" w:ascii="仿宋_GB2312" w:hAnsi="仿宋_GB2312" w:eastAsia="仿宋_GB2312" w:cs="仿宋_GB2312"/>
          <w:sz w:val="32"/>
          <w:szCs w:val="32"/>
          <w:lang w:eastAsia="zh-CN"/>
        </w:rPr>
        <w:t>落实</w:t>
      </w:r>
      <w:r>
        <w:rPr>
          <w:rFonts w:hint="eastAsia" w:ascii="仿宋_GB2312" w:hAnsi="仿宋_GB2312" w:eastAsia="仿宋_GB2312" w:cs="仿宋_GB2312"/>
          <w:sz w:val="32"/>
          <w:szCs w:val="32"/>
        </w:rPr>
        <w:t>案件主办人责任制</w:t>
      </w:r>
      <w:r>
        <w:rPr>
          <w:rFonts w:hint="eastAsia" w:ascii="仿宋_GB2312" w:hAnsi="仿宋_GB2312" w:eastAsia="仿宋_GB2312" w:cs="仿宋_GB2312"/>
          <w:sz w:val="32"/>
          <w:szCs w:val="32"/>
          <w:lang w:eastAsia="zh-CN"/>
        </w:rPr>
        <w:t>，推动执法责任落实到位。</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二是完善多部门联合执法。</w:t>
      </w:r>
      <w:r>
        <w:rPr>
          <w:rFonts w:hint="eastAsia" w:ascii="仿宋_GB2312" w:hAnsi="仿宋_GB2312" w:eastAsia="仿宋_GB2312" w:cs="仿宋_GB2312"/>
          <w:sz w:val="32"/>
          <w:szCs w:val="32"/>
          <w:lang w:val="en-US" w:eastAsia="zh-CN"/>
        </w:rPr>
        <w:t>持续开展“三个一百天”村级工业园</w:t>
      </w:r>
      <w:r>
        <w:rPr>
          <w:rFonts w:hint="eastAsia" w:ascii="仿宋_GB2312" w:hAnsi="仿宋_GB2312" w:eastAsia="仿宋_GB2312" w:cs="仿宋_GB2312"/>
          <w:sz w:val="32"/>
          <w:szCs w:val="32"/>
          <w:shd w:val="clear" w:color="auto" w:fill="FFFFFF"/>
          <w:lang w:val="en-US" w:eastAsia="zh-CN"/>
        </w:rPr>
        <w:t>区</w:t>
      </w:r>
      <w:r>
        <w:rPr>
          <w:rFonts w:hint="eastAsia" w:ascii="仿宋_GB2312" w:hAnsi="仿宋_GB2312" w:eastAsia="仿宋_GB2312" w:cs="仿宋_GB2312"/>
          <w:sz w:val="32"/>
          <w:szCs w:val="32"/>
          <w:lang w:val="en-US" w:eastAsia="zh-CN"/>
        </w:rPr>
        <w:t>安全与环保执法和源头整治攻坚工作，联合公安、消防、安全生产等部门，</w:t>
      </w:r>
      <w:r>
        <w:rPr>
          <w:rFonts w:hint="eastAsia" w:ascii="仿宋_GB2312" w:hAnsi="仿宋_GB2312" w:eastAsia="仿宋_GB2312" w:cs="仿宋_GB2312"/>
          <w:sz w:val="32"/>
          <w:szCs w:val="32"/>
          <w:highlight w:val="none"/>
          <w:shd w:val="clear" w:color="auto" w:fill="FFFFFF"/>
          <w:lang w:val="en-US" w:eastAsia="zh-CN"/>
        </w:rPr>
        <w:t>每周开展不少于3次联合执法行动</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shd w:val="clear" w:color="auto" w:fill="FFFFFF"/>
          <w:lang w:val="en-US" w:eastAsia="zh-CN"/>
        </w:rPr>
        <w:t>实现村级工业园区检查全覆盖，以点带面打出声势和效果</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shd w:val="clear" w:color="auto" w:fill="FFFFFF"/>
          <w:lang w:val="en-US" w:eastAsia="zh-CN"/>
        </w:rPr>
        <w:t>加强与公安、安全生产等部门联动，推进“环境保护+安全生产”双强执法制度化，落实环保警察与环保部门联合办公，完善环保警察联合执法机制，不断提升环境监察的</w:t>
      </w:r>
      <w:r>
        <w:rPr>
          <w:rFonts w:hint="eastAsia" w:ascii="仿宋_GB2312" w:hAnsi="仿宋_GB2312" w:eastAsia="仿宋_GB2312" w:cs="仿宋_GB2312"/>
          <w:sz w:val="32"/>
          <w:szCs w:val="32"/>
          <w:lang w:val="en-US" w:eastAsia="zh-CN"/>
        </w:rPr>
        <w:t>震慑力。</w:t>
      </w:r>
      <w:r>
        <w:rPr>
          <w:rFonts w:hint="eastAsia" w:ascii="仿宋_GB2312" w:hAnsi="仿宋_GB2312" w:eastAsia="仿宋_GB2312" w:cs="仿宋_GB2312"/>
          <w:sz w:val="32"/>
          <w:szCs w:val="32"/>
          <w:u w:val="none"/>
          <w:shd w:val="clear" w:color="auto" w:fill="auto"/>
        </w:rPr>
        <w:t>坚决反对“一刀切”</w:t>
      </w:r>
      <w:r>
        <w:rPr>
          <w:rFonts w:hint="eastAsia" w:ascii="仿宋_GB2312" w:hAnsi="仿宋_GB2312" w:eastAsia="仿宋_GB2312" w:cs="仿宋_GB2312"/>
          <w:sz w:val="32"/>
          <w:szCs w:val="32"/>
          <w:u w:val="none"/>
          <w:shd w:val="clear" w:color="auto" w:fill="auto"/>
          <w:lang w:eastAsia="zh-CN"/>
        </w:rPr>
        <w:t>，</w:t>
      </w:r>
      <w:r>
        <w:rPr>
          <w:rFonts w:hint="eastAsia" w:ascii="仿宋_GB2312" w:hAnsi="仿宋_GB2312" w:eastAsia="仿宋_GB2312" w:cs="仿宋_GB2312"/>
          <w:sz w:val="32"/>
          <w:szCs w:val="32"/>
          <w:lang w:val="en-US" w:eastAsia="zh-CN"/>
        </w:rPr>
        <w:t>实现对不同生态环境守法水平监管对象的差别化管理，对超标企业加大查处力度，对长期稳定达标排放的合法企业豁免例行监管。</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3"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三是推行多区域交叉执法。</w:t>
      </w:r>
      <w:r>
        <w:rPr>
          <w:rFonts w:hint="eastAsia" w:ascii="仿宋_GB2312" w:hAnsi="仿宋_GB2312" w:eastAsia="仿宋_GB2312" w:cs="仿宋_GB2312"/>
          <w:sz w:val="32"/>
          <w:szCs w:val="32"/>
          <w:lang w:val="en-US" w:eastAsia="zh-CN"/>
        </w:rPr>
        <w:t>继续开展交叉执法检查，完善与周边地市联合检查和交叉检查机制，</w:t>
      </w:r>
      <w:r>
        <w:rPr>
          <w:rFonts w:hint="eastAsia" w:ascii="仿宋_GB2312" w:hAnsi="仿宋_GB2312" w:eastAsia="仿宋_GB2312" w:cs="仿宋_GB2312"/>
          <w:color w:val="auto"/>
          <w:sz w:val="32"/>
          <w:szCs w:val="32"/>
          <w:highlight w:val="none"/>
          <w:lang w:val="en-US" w:eastAsia="zh-CN"/>
        </w:rPr>
        <w:t>每年与南海区开展联合交叉执法不少于6次，与中山市、江门市、番禺区等相邻市（区）联合交叉执法不少于2次，协同</w:t>
      </w:r>
      <w:r>
        <w:rPr>
          <w:rFonts w:hint="eastAsia" w:ascii="仿宋_GB2312" w:hAnsi="仿宋_GB2312" w:eastAsia="仿宋_GB2312" w:cs="仿宋_GB2312"/>
          <w:sz w:val="32"/>
          <w:szCs w:val="32"/>
          <w:lang w:val="en-US" w:eastAsia="zh-CN"/>
        </w:rPr>
        <w:t>解决跨界环境污染问题。</w:t>
      </w:r>
    </w:p>
    <w:p>
      <w:pPr>
        <w:keepNext w:val="0"/>
        <w:keepLines w:val="0"/>
        <w:pageBreakBefore w:val="0"/>
        <w:widowControl/>
        <w:numPr>
          <w:numId w:val="0"/>
        </w:numPr>
        <w:kinsoku/>
        <w:wordWrap/>
        <w:overflowPunct/>
        <w:topLinePunct w:val="0"/>
        <w:autoSpaceDE/>
        <w:autoSpaceDN/>
        <w:bidi w:val="0"/>
        <w:adjustRightInd/>
        <w:snapToGrid/>
        <w:spacing w:line="560" w:lineRule="exact"/>
        <w:ind w:leftChars="200" w:right="0" w:rightChars="0"/>
        <w:jc w:val="left"/>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重点案件查办情况</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顺德区环保部门针对环境违法行为严格依法行政，特别是针对重点案件办理，强调从“决策指挥、把握关键、强化证据、注重协调”等方面跟进案件办理，取得了较好的效果。2018年1月29日，顺德区环境运输和城市管理局环境监察大队联合顺德区公安局环保警察佛山市顺德区中意液压有限公司(下称中意液压)进行现场检查，检查中发现该公司热处理车间用于三元共渗工艺后冷却和清洗工件的两个水池下面各有一个排水管阀，现场可见其中一个水池下部的排水管阀处于打开状态，水池的水正在往外排，排出的水流经车间地面经过厂房墙脚的洞口流向墙外，最终流入下水道进入外环境，疑似偷排行为。为固定证据，执法人员立即在水池下部的排水管阀出水口和厂房墙外的洞口边抽取水样，送监测站检测。检测结果显示，该公司排水口水样重金属超标。根据相关法律，该公司行为属于通过暗管逃避监管的方式排放有毒物质，属于严重污染环境行为，顺德区环保部门于6月29日将该案件移交佛山市顺德区公安局跟进处理，7月6日下午，公安部门将该企业两名相关负责人带走调查。</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536" w:firstLineChars="200"/>
        <w:jc w:val="left"/>
        <w:textAlignment w:val="auto"/>
        <w:outlineLvl w:val="9"/>
        <w:rPr>
          <w:rFonts w:hint="default" w:ascii="Calibri" w:hAnsi="Calibri" w:eastAsia="仿宋_GB2312" w:cs="仿宋_GB2312"/>
          <w:color w:val="auto"/>
          <w:spacing w:val="-6"/>
          <w:kern w:val="0"/>
          <w:sz w:val="28"/>
          <w:szCs w:val="28"/>
          <w:lang w:val="en-US" w:eastAsia="zh-CN" w:bidi="ar-SA"/>
        </w:rPr>
      </w:pP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536" w:firstLineChars="200"/>
        <w:jc w:val="left"/>
        <w:textAlignment w:val="auto"/>
        <w:outlineLvl w:val="9"/>
        <w:rPr>
          <w:rFonts w:hint="default" w:ascii="Calibri" w:hAnsi="Calibri" w:eastAsia="仿宋_GB2312" w:cs="仿宋_GB2312"/>
          <w:color w:val="auto"/>
          <w:spacing w:val="-6"/>
          <w:kern w:val="0"/>
          <w:sz w:val="28"/>
          <w:szCs w:val="28"/>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536" w:firstLineChars="200"/>
        <w:jc w:val="left"/>
        <w:textAlignment w:val="auto"/>
        <w:outlineLvl w:val="9"/>
        <w:rPr>
          <w:rFonts w:hint="default" w:ascii="Calibri" w:hAnsi="Calibri" w:eastAsia="仿宋_GB2312" w:cs="仿宋_GB2312"/>
          <w:color w:val="auto"/>
          <w:spacing w:val="-6"/>
          <w:kern w:val="0"/>
          <w:sz w:val="28"/>
          <w:szCs w:val="28"/>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536" w:firstLineChars="200"/>
        <w:jc w:val="left"/>
        <w:textAlignment w:val="auto"/>
        <w:outlineLvl w:val="9"/>
        <w:rPr>
          <w:rFonts w:hint="default" w:ascii="Calibri" w:hAnsi="Calibri" w:eastAsia="仿宋_GB2312" w:cs="仿宋_GB2312"/>
          <w:color w:val="auto"/>
          <w:spacing w:val="-6"/>
          <w:kern w:val="0"/>
          <w:sz w:val="28"/>
          <w:szCs w:val="28"/>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536" w:firstLineChars="200"/>
        <w:jc w:val="left"/>
        <w:textAlignment w:val="auto"/>
        <w:outlineLvl w:val="9"/>
        <w:rPr>
          <w:rFonts w:hint="default" w:ascii="Calibri" w:hAnsi="Calibri" w:eastAsia="仿宋_GB2312" w:cs="仿宋_GB2312"/>
          <w:color w:val="auto"/>
          <w:spacing w:val="-6"/>
          <w:kern w:val="0"/>
          <w:sz w:val="28"/>
          <w:szCs w:val="28"/>
          <w:lang w:val="en-US" w:eastAsia="zh-CN" w:bidi="ar-SA"/>
        </w:rPr>
      </w:pPr>
    </w:p>
    <w:p>
      <w:pPr>
        <w:rPr>
          <w:rFonts w:hint="eastAsia"/>
          <w:color w:val="2F5597" w:themeColor="accent5" w:themeShade="BF"/>
          <w:sz w:val="16"/>
          <w:szCs w:val="2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文鼎小标宋简">
    <w:altName w:val="微软雅黑"/>
    <w:panose1 w:val="02010609010101010101"/>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iragino Sans GB W3">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FangSong_GB2312">
    <w:altName w:val="仿宋_GB2312"/>
    <w:panose1 w:val="00000000000000000000"/>
    <w:charset w:val="86"/>
    <w:family w:val="auto"/>
    <w:pitch w:val="default"/>
    <w:sig w:usb0="00000000" w:usb1="0000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微软雅黑 Light">
    <w:altName w:val="黑体"/>
    <w:panose1 w:val="020B0502040204020203"/>
    <w:charset w:val="86"/>
    <w:family w:val="auto"/>
    <w:pitch w:val="default"/>
    <w:sig w:usb0="00000000" w:usb1="00000000" w:usb2="00000016" w:usb3="00000000" w:csb0="0004001F" w:csb1="00000000"/>
  </w:font>
  <w:font w:name="方正楷体简体">
    <w:panose1 w:val="02010601030101010101"/>
    <w:charset w:val="86"/>
    <w:family w:val="auto"/>
    <w:pitch w:val="default"/>
    <w:sig w:usb0="00000001" w:usb1="080E0000" w:usb2="00000000" w:usb3="00000000" w:csb0="00040000" w:csb1="00000000"/>
  </w:font>
  <w:font w:name="Malgun Gothic">
    <w:panose1 w:val="020B0503020000020004"/>
    <w:charset w:val="81"/>
    <w:family w:val="auto"/>
    <w:pitch w:val="default"/>
    <w:sig w:usb0="900002AF" w:usb1="01D77CFB" w:usb2="00000012" w:usb3="00000000" w:csb0="00080001" w:csb1="00000000"/>
  </w:font>
  <w:font w:name="Algerian">
    <w:altName w:val="Charlemagne Std"/>
    <w:panose1 w:val="04020705040A02060702"/>
    <w:charset w:val="00"/>
    <w:family w:val="auto"/>
    <w:pitch w:val="default"/>
    <w:sig w:usb0="00000000" w:usb1="00000000" w:usb2="00000000" w:usb3="00000000" w:csb0="20000001" w:csb1="00000000"/>
  </w:font>
  <w:font w:name="Charlemagne Std">
    <w:panose1 w:val="04020705060702020204"/>
    <w:charset w:val="00"/>
    <w:family w:val="auto"/>
    <w:pitch w:val="default"/>
    <w:sig w:usb0="00000003" w:usb1="00000000" w:usb2="00000000" w:usb3="00000000" w:csb0="20000001" w:csb1="00000000"/>
  </w:font>
  <w:font w:name="方正小标宋_GBK">
    <w:altName w:val="宋体"/>
    <w:panose1 w:val="03000509000000000000"/>
    <w:charset w:val="86"/>
    <w:family w:val="script"/>
    <w:pitch w:val="default"/>
    <w:sig w:usb0="00000000" w:usb1="00000000" w:usb2="00000000" w:usb3="00000000" w:csb0="00040000" w:csb1="00000000"/>
  </w:font>
  <w:font w:name="方正仿宋_GBK">
    <w:altName w:val="宋体"/>
    <w:panose1 w:val="03000509000000000000"/>
    <w:charset w:val="01"/>
    <w:family w:val="script"/>
    <w:pitch w:val="default"/>
    <w:sig w:usb0="00000000" w:usb1="00000000" w:usb2="00000010" w:usb3="00000000" w:csb0="003C004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E54008"/>
    <w:multiLevelType w:val="singleLevel"/>
    <w:tmpl w:val="5BE5400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53028B"/>
    <w:rsid w:val="002261FD"/>
    <w:rsid w:val="00A22CD8"/>
    <w:rsid w:val="013220A1"/>
    <w:rsid w:val="01685A92"/>
    <w:rsid w:val="02C00E13"/>
    <w:rsid w:val="038E1CF4"/>
    <w:rsid w:val="040E21CD"/>
    <w:rsid w:val="04845889"/>
    <w:rsid w:val="052E0D07"/>
    <w:rsid w:val="0551238C"/>
    <w:rsid w:val="074B125C"/>
    <w:rsid w:val="09887FB8"/>
    <w:rsid w:val="0A8A336A"/>
    <w:rsid w:val="0AF02125"/>
    <w:rsid w:val="0C263729"/>
    <w:rsid w:val="0DE86D76"/>
    <w:rsid w:val="0E506125"/>
    <w:rsid w:val="0F576086"/>
    <w:rsid w:val="12401BF8"/>
    <w:rsid w:val="12A70CCE"/>
    <w:rsid w:val="131C6EC0"/>
    <w:rsid w:val="135752C4"/>
    <w:rsid w:val="13832CF0"/>
    <w:rsid w:val="14367B39"/>
    <w:rsid w:val="14743BB9"/>
    <w:rsid w:val="14E94F75"/>
    <w:rsid w:val="17290956"/>
    <w:rsid w:val="18707AFA"/>
    <w:rsid w:val="19190207"/>
    <w:rsid w:val="19D22916"/>
    <w:rsid w:val="19D27568"/>
    <w:rsid w:val="1AA65CC7"/>
    <w:rsid w:val="1BDF6262"/>
    <w:rsid w:val="1C733D4C"/>
    <w:rsid w:val="1CE072B8"/>
    <w:rsid w:val="1D53028B"/>
    <w:rsid w:val="1DDF3C68"/>
    <w:rsid w:val="1E565535"/>
    <w:rsid w:val="1EE6522B"/>
    <w:rsid w:val="1FCA4BF6"/>
    <w:rsid w:val="2071632A"/>
    <w:rsid w:val="20BD2B09"/>
    <w:rsid w:val="222A6BCD"/>
    <w:rsid w:val="235E046F"/>
    <w:rsid w:val="25161AAE"/>
    <w:rsid w:val="25217280"/>
    <w:rsid w:val="273B254B"/>
    <w:rsid w:val="27EB178D"/>
    <w:rsid w:val="27FC42D2"/>
    <w:rsid w:val="296812BB"/>
    <w:rsid w:val="2B0E2256"/>
    <w:rsid w:val="2B4D7C93"/>
    <w:rsid w:val="2C6A5F34"/>
    <w:rsid w:val="2C6C1997"/>
    <w:rsid w:val="2CA344B0"/>
    <w:rsid w:val="2D6A6E64"/>
    <w:rsid w:val="2E7C46A8"/>
    <w:rsid w:val="2E8A6EA5"/>
    <w:rsid w:val="2FD323D1"/>
    <w:rsid w:val="30DF4A1E"/>
    <w:rsid w:val="3129455D"/>
    <w:rsid w:val="32483C53"/>
    <w:rsid w:val="32E10B0C"/>
    <w:rsid w:val="34412108"/>
    <w:rsid w:val="35364796"/>
    <w:rsid w:val="397F0695"/>
    <w:rsid w:val="3BDC7280"/>
    <w:rsid w:val="3EB27C5D"/>
    <w:rsid w:val="3F2065F5"/>
    <w:rsid w:val="3FE37B04"/>
    <w:rsid w:val="418E5898"/>
    <w:rsid w:val="418F2CF2"/>
    <w:rsid w:val="43FE06E1"/>
    <w:rsid w:val="44CC429D"/>
    <w:rsid w:val="468B5732"/>
    <w:rsid w:val="46943EA1"/>
    <w:rsid w:val="46F33476"/>
    <w:rsid w:val="478720A1"/>
    <w:rsid w:val="492B6DEF"/>
    <w:rsid w:val="49DF775F"/>
    <w:rsid w:val="4AD01202"/>
    <w:rsid w:val="4B5F1840"/>
    <w:rsid w:val="4B9F6D6C"/>
    <w:rsid w:val="4BC239B9"/>
    <w:rsid w:val="4D0402DA"/>
    <w:rsid w:val="4D8A1B5F"/>
    <w:rsid w:val="4FD547EE"/>
    <w:rsid w:val="50CC1495"/>
    <w:rsid w:val="50D22B6A"/>
    <w:rsid w:val="51B546F9"/>
    <w:rsid w:val="51D06947"/>
    <w:rsid w:val="522F07BA"/>
    <w:rsid w:val="528F690A"/>
    <w:rsid w:val="55E93218"/>
    <w:rsid w:val="58DB6BA7"/>
    <w:rsid w:val="59086363"/>
    <w:rsid w:val="5BF101A8"/>
    <w:rsid w:val="5C25226C"/>
    <w:rsid w:val="5C4E6FC1"/>
    <w:rsid w:val="5DCF7CC3"/>
    <w:rsid w:val="60AE14D7"/>
    <w:rsid w:val="61900B87"/>
    <w:rsid w:val="62F735FA"/>
    <w:rsid w:val="64994A2B"/>
    <w:rsid w:val="64DA5517"/>
    <w:rsid w:val="66E30B90"/>
    <w:rsid w:val="671715BD"/>
    <w:rsid w:val="67CB4600"/>
    <w:rsid w:val="68D3383B"/>
    <w:rsid w:val="68FC1C67"/>
    <w:rsid w:val="6A1D0B9C"/>
    <w:rsid w:val="6AA25C22"/>
    <w:rsid w:val="6B366AA3"/>
    <w:rsid w:val="6BD54ED8"/>
    <w:rsid w:val="6C247315"/>
    <w:rsid w:val="6CDE7273"/>
    <w:rsid w:val="6DE9084C"/>
    <w:rsid w:val="6E6C4EC5"/>
    <w:rsid w:val="71615175"/>
    <w:rsid w:val="71AE6CDB"/>
    <w:rsid w:val="73DD4355"/>
    <w:rsid w:val="74B45638"/>
    <w:rsid w:val="758B62BA"/>
    <w:rsid w:val="75B326F7"/>
    <w:rsid w:val="7A0E759F"/>
    <w:rsid w:val="7A1E7E00"/>
    <w:rsid w:val="7A5D5341"/>
    <w:rsid w:val="7B366C38"/>
    <w:rsid w:val="7C100D6F"/>
    <w:rsid w:val="7E462A01"/>
    <w:rsid w:val="7E9E0A1B"/>
    <w:rsid w:val="7EBF1C7C"/>
    <w:rsid w:val="7ECF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spacing w:line="240" w:lineRule="atLeast"/>
    </w:pPr>
    <w:rPr>
      <w:spacing w:val="-6"/>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2018-11-06T02:33:00Z</dcterms:created>
  <dc:creator>李文清</dc:creator>
  <cp:lastModifiedBy>张小虎</cp:lastModifiedBy>
  <dcterms:modified xsi:type="dcterms:W3CDTF">2018-11-09T08:48:17Z</dcterms:modified>
  <dc:title>顺德区环境运输和城市管理局（环境保护）关于2018年环境执法大练兵工作总结</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