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63" w:beforeAutospacing="0" w:after="63" w:afterAutospacing="0" w:line="351" w:lineRule="atLeast"/>
        <w:jc w:val="center"/>
        <w:rPr>
          <w:rFonts w:ascii="微软雅黑" w:hAnsi="微软雅黑" w:eastAsia="微软雅黑"/>
          <w:b/>
          <w:color w:val="333333"/>
          <w:sz w:val="20"/>
          <w:szCs w:val="20"/>
        </w:rPr>
      </w:pPr>
      <w:r>
        <w:rPr>
          <w:rFonts w:hint="eastAsia" w:ascii="微软雅黑" w:hAnsi="微软雅黑" w:eastAsia="微软雅黑"/>
          <w:b/>
          <w:color w:val="333333"/>
          <w:sz w:val="20"/>
          <w:szCs w:val="20"/>
        </w:rPr>
        <w:t>贺州市平桂区环境监察大队2018年环境执法大练兵先进集体事迹材料</w:t>
      </w:r>
    </w:p>
    <w:p>
      <w:pPr>
        <w:pStyle w:val="4"/>
        <w:spacing w:before="63" w:beforeAutospacing="0" w:after="63" w:afterAutospacing="0" w:line="351" w:lineRule="atLeast"/>
        <w:rPr>
          <w:rFonts w:ascii="微软雅黑" w:hAnsi="微软雅黑" w:eastAsia="微软雅黑"/>
          <w:color w:val="333333"/>
          <w:sz w:val="20"/>
          <w:szCs w:val="20"/>
        </w:rPr>
      </w:pPr>
      <w:r>
        <w:rPr>
          <w:rFonts w:hint="eastAsia" w:ascii="微软雅黑" w:hAnsi="微软雅黑" w:eastAsia="微软雅黑"/>
          <w:color w:val="333333"/>
          <w:sz w:val="20"/>
          <w:szCs w:val="20"/>
        </w:rPr>
        <w:t>　　开展环境执法大练兵以来，平桂区环境监察大队按照省环保厅、市环保局、区环保局的安排部署，结合我区实际，认真准备、精心组织，积极开展环境执法大练兵活动。坚持全天候执法，深入开展“双随机”抽查,大力开展夜查、暗查、节假日突击检查和联合检查及违法违规建设项目清理，让违法排污无处藏身，营造了打击环境违法行为的高压态势，查处了一批严重环境违法企事业单位和个体，解决了部分环境历史遗留问题，提高了监察执法人员规范执法的意识和能力，树立了环境执法队伍新形象突出环境问题有效解决，群众满意度不断提升。</w:t>
      </w:r>
    </w:p>
    <w:p>
      <w:pPr>
        <w:pStyle w:val="4"/>
        <w:spacing w:before="63" w:beforeAutospacing="0" w:after="63" w:afterAutospacing="0" w:line="351" w:lineRule="atLeast"/>
        <w:rPr>
          <w:rFonts w:ascii="微软雅黑" w:hAnsi="微软雅黑" w:eastAsia="微软雅黑"/>
          <w:color w:val="333333"/>
          <w:sz w:val="20"/>
          <w:szCs w:val="20"/>
        </w:rPr>
      </w:pPr>
      <w:r>
        <w:rPr>
          <w:rFonts w:hint="eastAsia" w:ascii="微软雅黑" w:hAnsi="微软雅黑" w:eastAsia="微软雅黑"/>
          <w:color w:val="333333"/>
          <w:sz w:val="20"/>
          <w:szCs w:val="20"/>
        </w:rPr>
        <w:t>　　一、工作开展情况</w:t>
      </w:r>
    </w:p>
    <w:p>
      <w:pPr>
        <w:pStyle w:val="4"/>
        <w:spacing w:before="63" w:beforeAutospacing="0" w:after="63" w:afterAutospacing="0" w:line="351" w:lineRule="atLeast"/>
        <w:rPr>
          <w:rFonts w:ascii="微软雅黑" w:hAnsi="微软雅黑" w:eastAsia="微软雅黑"/>
          <w:color w:val="333333"/>
          <w:sz w:val="20"/>
          <w:szCs w:val="20"/>
        </w:rPr>
      </w:pPr>
      <w:r>
        <w:rPr>
          <w:rFonts w:hint="eastAsia" w:ascii="微软雅黑" w:hAnsi="微软雅黑" w:eastAsia="微软雅黑"/>
          <w:color w:val="333333"/>
          <w:sz w:val="20"/>
          <w:szCs w:val="20"/>
        </w:rPr>
        <w:t>　　（一）切实加强组织领导。按照省环保厅关于开展2018年环境执法大练兵工作的通知要求，平桂区环保局高度重视，召开了专题会议研究部署环境执法大练兵工作。确定由平桂区环境监察大队牵头，相关股室配合抓好工作落实。成立领导小组，明确大练兵活动的工作重点。</w:t>
      </w:r>
    </w:p>
    <w:p>
      <w:pPr>
        <w:pStyle w:val="4"/>
        <w:spacing w:before="63" w:beforeAutospacing="0" w:after="63" w:afterAutospacing="0" w:line="351" w:lineRule="atLeast"/>
        <w:rPr>
          <w:rFonts w:ascii="微软雅黑" w:hAnsi="微软雅黑" w:eastAsia="微软雅黑"/>
          <w:color w:val="333333"/>
          <w:sz w:val="20"/>
          <w:szCs w:val="20"/>
        </w:rPr>
      </w:pPr>
      <w:r>
        <w:rPr>
          <w:rFonts w:hint="eastAsia" w:ascii="微软雅黑" w:hAnsi="微软雅黑" w:eastAsia="微软雅黑"/>
          <w:color w:val="333333"/>
          <w:sz w:val="20"/>
          <w:szCs w:val="20"/>
        </w:rPr>
        <w:t>　　（二）狠抓违法查处手不软。一是查处案件数创历史新高。截止目前，全州立案调查环境违法案件42件，与2017年全年相比，案件数多出25件。二是处罚总额创历史新高。截至目前，全区处罚总额为220.8059万元，比2017年全年处罚总额高156.2394万元。三是单个案件金额创历史新高。2018年5月查处的“广西华千谷旅游开发有限公司违反环境影响评价制度案”，处罚金额达80万元，为平桂区环境违法行政处罚历史最高金额。</w:t>
      </w:r>
    </w:p>
    <w:p>
      <w:pPr>
        <w:pStyle w:val="4"/>
        <w:spacing w:before="63" w:beforeAutospacing="0" w:after="63" w:afterAutospacing="0" w:line="351" w:lineRule="atLeast"/>
        <w:ind w:firstLine="390"/>
        <w:rPr>
          <w:rFonts w:ascii="微软雅黑" w:hAnsi="微软雅黑" w:eastAsia="微软雅黑"/>
          <w:color w:val="333333"/>
          <w:sz w:val="20"/>
          <w:szCs w:val="20"/>
        </w:rPr>
      </w:pPr>
      <w:r>
        <w:rPr>
          <w:rFonts w:hint="eastAsia" w:ascii="微软雅黑" w:hAnsi="微软雅黑" w:eastAsia="微软雅黑"/>
          <w:color w:val="333333"/>
          <w:sz w:val="20"/>
          <w:szCs w:val="20"/>
        </w:rPr>
        <w:t>（四）通过“传帮带”方式加强监察执法队伍建设。一是现场教学，以教学查案件，把学习与执法完美结核，以大练兵为契机加强执法人员执法水平。将转化为强监管、敢担当、守底线的理念和方法，转化为严执法、善作为，做忠诚环保卫士的精神动力。二是崇尚严格执法之风。把大练兵意识延伸到常态化工作中，优化制度设计，完善大练兵活动中制定、修订的环境执法规定，助力环境管理制度改革。进一步细化内控程序，强化刚性监督，最大限度地压缩权力寻租空间，做到始终以铁纪落实铁规。</w:t>
      </w:r>
    </w:p>
    <w:p>
      <w:pPr>
        <w:pStyle w:val="4"/>
        <w:spacing w:before="63" w:beforeAutospacing="0" w:after="63" w:afterAutospacing="0" w:line="351" w:lineRule="atLeast"/>
        <w:rPr>
          <w:rFonts w:ascii="微软雅黑" w:hAnsi="微软雅黑" w:eastAsia="微软雅黑"/>
          <w:color w:val="333333"/>
          <w:sz w:val="20"/>
          <w:szCs w:val="20"/>
        </w:rPr>
      </w:pPr>
      <w:r>
        <w:rPr>
          <w:rFonts w:hint="eastAsia" w:ascii="微软雅黑" w:hAnsi="微软雅黑" w:eastAsia="微软雅黑"/>
          <w:color w:val="333333"/>
          <w:sz w:val="20"/>
          <w:szCs w:val="20"/>
        </w:rPr>
        <w:t>　　二、重点案件办理情况</w:t>
      </w:r>
    </w:p>
    <w:p>
      <w:pPr>
        <w:pStyle w:val="4"/>
        <w:spacing w:before="63" w:beforeAutospacing="0" w:after="63" w:afterAutospacing="0" w:line="351" w:lineRule="atLeast"/>
        <w:rPr>
          <w:rFonts w:ascii="微软雅黑" w:hAnsi="微软雅黑" w:eastAsia="微软雅黑"/>
          <w:color w:val="333333"/>
          <w:sz w:val="20"/>
          <w:szCs w:val="20"/>
        </w:rPr>
      </w:pPr>
      <w:r>
        <w:rPr>
          <w:rFonts w:hint="eastAsia" w:ascii="微软雅黑" w:hAnsi="微软雅黑" w:eastAsia="微软雅黑"/>
          <w:color w:val="333333"/>
          <w:sz w:val="20"/>
          <w:szCs w:val="20"/>
        </w:rPr>
        <w:t>　　</w:t>
      </w:r>
      <w:r>
        <w:rPr>
          <w:rFonts w:hint="eastAsia" w:ascii="微软雅黑" w:hAnsi="微软雅黑" w:eastAsia="微软雅黑"/>
          <w:color w:val="333333"/>
          <w:sz w:val="20"/>
          <w:szCs w:val="20"/>
          <w:lang w:eastAsia="zh-CN"/>
        </w:rPr>
        <w:t>（一）</w:t>
      </w:r>
      <w:r>
        <w:rPr>
          <w:rFonts w:hint="eastAsia" w:ascii="微软雅黑" w:hAnsi="微软雅黑" w:eastAsia="微软雅黑"/>
          <w:color w:val="333333"/>
          <w:sz w:val="20"/>
          <w:szCs w:val="20"/>
        </w:rPr>
        <w:t>广西华千谷旅游开发有限公司违反环境影响评价制度案</w:t>
      </w:r>
    </w:p>
    <w:p>
      <w:pPr>
        <w:pStyle w:val="4"/>
        <w:spacing w:before="63" w:beforeAutospacing="0" w:after="63" w:afterAutospacing="0" w:line="351" w:lineRule="atLeast"/>
        <w:rPr>
          <w:rFonts w:hint="eastAsia" w:ascii="微软雅黑" w:hAnsi="微软雅黑" w:eastAsia="微软雅黑"/>
          <w:color w:val="333333"/>
          <w:sz w:val="20"/>
          <w:szCs w:val="20"/>
          <w:lang w:eastAsia="zh-CN"/>
        </w:rPr>
      </w:pPr>
      <w:r>
        <w:rPr>
          <w:rFonts w:hint="eastAsia" w:ascii="微软雅黑" w:hAnsi="微软雅黑" w:eastAsia="微软雅黑"/>
          <w:color w:val="333333"/>
          <w:sz w:val="20"/>
          <w:szCs w:val="20"/>
        </w:rPr>
        <w:t>　　2018年5月17日，平桂区环境监察大队对广西华千谷旅游开发有限公司开展环境执法检查工作中发现，该公司位于贺州市平桂区黄田镇清面村（原贺州市平桂矿务局新路矿木桥面尾矿库原址）的贺州姑婆山体育文化旅游项目（贺州姑婆山足球小镇项目），按照《建设项目环境影响评价分类管理名录》（环境保护部令第44号），应当编制并报批环境影响评价报告表，但广西华千谷旅游开发有限公司未依法报批建设项目环境影响报告表，即擅自开工建设。贺州姑婆山体育文化旅游项目（贺州姑婆山足球小镇项目）已建成六块国际A级11人制标准足球场，正在建设一座4层青少年球员公寓（主体基本建成）</w:t>
      </w:r>
      <w:r>
        <w:rPr>
          <w:rFonts w:hint="eastAsia" w:ascii="微软雅黑" w:hAnsi="微软雅黑" w:eastAsia="微软雅黑"/>
          <w:color w:val="333333"/>
          <w:sz w:val="20"/>
          <w:szCs w:val="20"/>
          <w:lang w:eastAsia="zh-CN"/>
        </w:rPr>
        <w:t>。</w:t>
      </w:r>
      <w:bookmarkStart w:id="0" w:name="_GoBack"/>
      <w:bookmarkEnd w:id="0"/>
    </w:p>
    <w:p>
      <w:pPr>
        <w:pStyle w:val="4"/>
        <w:spacing w:before="63" w:beforeAutospacing="0" w:after="63" w:afterAutospacing="0" w:line="351" w:lineRule="atLeast"/>
        <w:rPr>
          <w:rFonts w:ascii="微软雅黑" w:hAnsi="微软雅黑" w:eastAsia="微软雅黑"/>
          <w:color w:val="333333"/>
          <w:sz w:val="20"/>
          <w:szCs w:val="20"/>
        </w:rPr>
      </w:pPr>
      <w:r>
        <w:rPr>
          <w:rFonts w:hint="eastAsia" w:ascii="微软雅黑" w:hAnsi="微软雅黑" w:eastAsia="微软雅黑"/>
          <w:color w:val="333333"/>
          <w:sz w:val="20"/>
          <w:szCs w:val="20"/>
        </w:rPr>
        <w:t>　　违法行为认定：违反了</w:t>
      </w:r>
      <w:r>
        <w:rPr>
          <w:rFonts w:hint="eastAsia" w:ascii="微软雅黑" w:hAnsi="微软雅黑" w:eastAsia="微软雅黑"/>
          <w:color w:val="333333"/>
          <w:sz w:val="20"/>
          <w:szCs w:val="20"/>
          <w:lang w:eastAsia="zh-CN"/>
        </w:rPr>
        <w:t>《</w:t>
      </w:r>
      <w:r>
        <w:rPr>
          <w:rFonts w:hint="eastAsia" w:ascii="微软雅黑" w:hAnsi="微软雅黑" w:eastAsia="微软雅黑"/>
          <w:color w:val="333333"/>
          <w:sz w:val="20"/>
          <w:szCs w:val="20"/>
        </w:rPr>
        <w:t>中华人民共和国环境影响评价法》（2016年修订版）第二十五条之规定。</w:t>
      </w:r>
    </w:p>
    <w:p>
      <w:pPr>
        <w:pStyle w:val="4"/>
        <w:spacing w:before="63" w:beforeAutospacing="0" w:after="63" w:afterAutospacing="0" w:line="351" w:lineRule="atLeast"/>
        <w:rPr>
          <w:rFonts w:ascii="微软雅黑" w:hAnsi="微软雅黑" w:eastAsia="微软雅黑"/>
          <w:color w:val="333333"/>
          <w:sz w:val="20"/>
          <w:szCs w:val="20"/>
        </w:rPr>
      </w:pPr>
      <w:r>
        <w:rPr>
          <w:rFonts w:hint="eastAsia" w:ascii="微软雅黑" w:hAnsi="微软雅黑" w:eastAsia="微软雅黑"/>
          <w:color w:val="333333"/>
          <w:sz w:val="20"/>
          <w:szCs w:val="20"/>
        </w:rPr>
        <w:t>　　处罚结果：2018年</w:t>
      </w:r>
      <w:r>
        <w:rPr>
          <w:rFonts w:hint="eastAsia" w:ascii="微软雅黑" w:hAnsi="微软雅黑" w:eastAsia="微软雅黑"/>
          <w:color w:val="333333"/>
          <w:sz w:val="20"/>
          <w:szCs w:val="20"/>
          <w:lang w:val="en-US" w:eastAsia="zh-CN"/>
        </w:rPr>
        <w:t>8月20日</w:t>
      </w:r>
      <w:r>
        <w:rPr>
          <w:rFonts w:hint="eastAsia" w:ascii="微软雅黑" w:hAnsi="微软雅黑" w:eastAsia="微软雅黑"/>
          <w:color w:val="333333"/>
          <w:sz w:val="20"/>
          <w:szCs w:val="20"/>
          <w:lang w:eastAsia="zh-CN"/>
        </w:rPr>
        <w:t>，</w:t>
      </w:r>
      <w:r>
        <w:rPr>
          <w:rFonts w:hint="eastAsia" w:ascii="微软雅黑" w:hAnsi="微软雅黑" w:eastAsia="微软雅黑"/>
          <w:color w:val="333333"/>
          <w:sz w:val="20"/>
          <w:szCs w:val="20"/>
        </w:rPr>
        <w:t>向广西华千谷旅游开发有限公司送达了行政处罚告知书和听证告知书，告知享有的陈诉申辩和听证权利，广西华千谷旅游开发有限公司在规定时间内未提出听证申请也未进行陈诉与申辩。本行政机关决定对广西华千谷旅游开发有限公司违反环境影响评价制度的行为实施</w:t>
      </w:r>
      <w:r>
        <w:rPr>
          <w:rFonts w:hint="eastAsia" w:ascii="微软雅黑" w:hAnsi="微软雅黑" w:eastAsia="微软雅黑"/>
          <w:color w:val="333333"/>
          <w:sz w:val="20"/>
          <w:szCs w:val="20"/>
          <w:lang w:val="en-US" w:eastAsia="zh-CN"/>
        </w:rPr>
        <w:t>800000</w:t>
      </w:r>
      <w:r>
        <w:rPr>
          <w:rFonts w:hint="eastAsia" w:ascii="微软雅黑" w:hAnsi="微软雅黑" w:eastAsia="微软雅黑"/>
          <w:color w:val="333333"/>
          <w:sz w:val="20"/>
          <w:szCs w:val="20"/>
        </w:rPr>
        <w:t>.00元人民币（大写：</w:t>
      </w:r>
      <w:r>
        <w:rPr>
          <w:rFonts w:hint="eastAsia" w:ascii="微软雅黑" w:hAnsi="微软雅黑" w:eastAsia="微软雅黑"/>
          <w:color w:val="333333"/>
          <w:sz w:val="20"/>
          <w:szCs w:val="20"/>
          <w:lang w:eastAsia="zh-CN"/>
        </w:rPr>
        <w:t>捌拾</w:t>
      </w:r>
      <w:r>
        <w:rPr>
          <w:rFonts w:hint="eastAsia" w:ascii="微软雅黑" w:hAnsi="微软雅黑" w:eastAsia="微软雅黑"/>
          <w:color w:val="333333"/>
          <w:sz w:val="20"/>
          <w:szCs w:val="20"/>
        </w:rPr>
        <w:t>万元）行政处罚。</w:t>
      </w:r>
    </w:p>
    <w:p>
      <w:pPr>
        <w:pStyle w:val="4"/>
        <w:spacing w:before="63" w:beforeAutospacing="0" w:after="63" w:afterAutospacing="0" w:line="351" w:lineRule="atLeast"/>
        <w:ind w:firstLine="400"/>
        <w:rPr>
          <w:rFonts w:hint="eastAsia" w:ascii="微软雅黑" w:hAnsi="微软雅黑" w:eastAsia="微软雅黑"/>
          <w:color w:val="333333"/>
          <w:sz w:val="20"/>
          <w:szCs w:val="20"/>
        </w:rPr>
      </w:pPr>
      <w:r>
        <w:rPr>
          <w:rFonts w:hint="eastAsia" w:ascii="微软雅黑" w:hAnsi="微软雅黑" w:eastAsia="微软雅黑"/>
          <w:color w:val="333333"/>
          <w:sz w:val="20"/>
          <w:szCs w:val="20"/>
        </w:rPr>
        <w:t>执行情况：罚款</w:t>
      </w:r>
      <w:r>
        <w:rPr>
          <w:rFonts w:hint="eastAsia" w:ascii="微软雅黑" w:hAnsi="微软雅黑" w:eastAsia="微软雅黑"/>
          <w:color w:val="333333"/>
          <w:sz w:val="20"/>
          <w:szCs w:val="20"/>
          <w:lang w:eastAsia="zh-CN"/>
        </w:rPr>
        <w:t>已</w:t>
      </w:r>
      <w:r>
        <w:rPr>
          <w:rFonts w:hint="eastAsia" w:ascii="微软雅黑" w:hAnsi="微软雅黑" w:eastAsia="微软雅黑"/>
          <w:color w:val="333333"/>
          <w:sz w:val="20"/>
          <w:szCs w:val="20"/>
        </w:rPr>
        <w:t>缴纳至</w:t>
      </w:r>
      <w:r>
        <w:rPr>
          <w:rFonts w:hint="eastAsia" w:ascii="微软雅黑" w:hAnsi="微软雅黑" w:eastAsia="微软雅黑"/>
          <w:color w:val="333333"/>
          <w:sz w:val="20"/>
          <w:szCs w:val="20"/>
          <w:lang w:eastAsia="zh-CN"/>
        </w:rPr>
        <w:t>贺州市平桂区</w:t>
      </w:r>
      <w:r>
        <w:rPr>
          <w:rFonts w:hint="eastAsia" w:ascii="微软雅黑" w:hAnsi="微软雅黑" w:eastAsia="微软雅黑"/>
          <w:color w:val="333333"/>
          <w:sz w:val="20"/>
          <w:szCs w:val="20"/>
        </w:rPr>
        <w:t>财政局指定账户。</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094"/>
    <w:rsid w:val="001C3094"/>
    <w:rsid w:val="002564D7"/>
    <w:rsid w:val="002F23E8"/>
    <w:rsid w:val="003240D0"/>
    <w:rsid w:val="00356F7C"/>
    <w:rsid w:val="003C22F4"/>
    <w:rsid w:val="0051517E"/>
    <w:rsid w:val="005456B3"/>
    <w:rsid w:val="00806D7A"/>
    <w:rsid w:val="009F4B5A"/>
    <w:rsid w:val="00A31A8D"/>
    <w:rsid w:val="00F01942"/>
    <w:rsid w:val="00F1118C"/>
    <w:rsid w:val="00FC76FF"/>
    <w:rsid w:val="18A05872"/>
    <w:rsid w:val="3187760A"/>
    <w:rsid w:val="49BD1E69"/>
    <w:rsid w:val="6A601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374</Words>
  <Characters>2132</Characters>
  <Lines>17</Lines>
  <Paragraphs>5</Paragraphs>
  <TotalTime>5</TotalTime>
  <ScaleCrop>false</ScaleCrop>
  <LinksUpToDate>false</LinksUpToDate>
  <CharactersWithSpaces>2501</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2018-11-28T09:14:00Z</dcterms:created>
  <dc:creator>user</dc:creator>
  <cp:lastModifiedBy>Administrator</cp:lastModifiedBy>
  <dcterms:modified xsi:type="dcterms:W3CDTF">2018-11-29T07:43:46Z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