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5"/>
        <w:framePr w:wrap="around" w:vAnchor="margin" w:hAnchor="text" w:y="1"/>
      </w:pPr>
      <w:r>
        <w:rPr>
          <w:rFonts w:ascii="Times New Roman"/>
        </w:rPr>
        <w:t>ICS</w:t>
      </w:r>
      <w:r>
        <w:rPr>
          <w:rFonts w:hAnsi="黑体"/>
        </w:rPr>
        <w:t> </w:t>
      </w:r>
      <w:r>
        <w:fldChar w:fldCharType="begin">
          <w:ffData>
            <w:name w:val="ICS"/>
            <w:enabled/>
            <w:calcOnExit w:val="0"/>
            <w:helpText w:type="text" w:val="请输入正确的ICS号："/>
            <w:textInput>
              <w:default w:val="03.080.01"/>
            </w:textInput>
          </w:ffData>
        </w:fldChar>
      </w:r>
      <w:bookmarkStart w:id="0" w:name="ICS"/>
      <w:r>
        <w:instrText xml:space="preserve"> FORMTEXT </w:instrText>
      </w:r>
      <w:r>
        <w:fldChar w:fldCharType="separate"/>
      </w:r>
      <w:r>
        <w:t>03.080.01</w:t>
      </w:r>
      <w:r>
        <w:fldChar w:fldCharType="end"/>
      </w:r>
      <w:bookmarkEnd w:id="0"/>
    </w:p>
    <w:p>
      <w:pPr>
        <w:pStyle w:val="115"/>
        <w:framePr w:wrap="around" w:vAnchor="margin" w:hAnchor="text" w:y="1"/>
      </w:pPr>
      <w:r>
        <w:fldChar w:fldCharType="begin">
          <w:ffData>
            <w:name w:val="WXFLH"/>
            <w:enabled/>
            <w:calcOnExit w:val="0"/>
            <w:helpText w:type="text" w:val="请输入中国标准文献分类号："/>
            <w:textInput>
              <w:default w:val="A 20"/>
            </w:textInput>
          </w:ffData>
        </w:fldChar>
      </w:r>
      <w:bookmarkStart w:id="1" w:name="WXFLH"/>
      <w:r>
        <w:instrText xml:space="preserve"> FORMTEXT </w:instrText>
      </w:r>
      <w:r>
        <w:fldChar w:fldCharType="separate"/>
      </w:r>
      <w:r>
        <w:t>A 20</w:t>
      </w:r>
      <w:r>
        <w:fldChar w:fldCharType="end"/>
      </w:r>
      <w:bookmarkEnd w:id="1"/>
    </w:p>
    <w:p>
      <w:pPr>
        <w:pStyle w:val="61"/>
        <w:framePr/>
      </w:pPr>
      <w:r>
        <w:rPr>
          <w:rFonts w:ascii="Times New Roman" w:hAnsi="Times New Roman" w:eastAsia="宋体" w:cs="Times New Roman"/>
          <w:b/>
          <w:w w:val="170"/>
          <w:sz w:val="96"/>
          <w:szCs w:val="96"/>
          <w:lang w:val="en-US" w:eastAsia="zh-CN" w:bidi="ar-SA"/>
        </w:rPr>
        <w:pict>
          <v:shape id="图片 1" o:spid="_x0000_s1026" type="#_x0000_t75" style="height:56.5pt;width:11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62"/>
        <w:framePr/>
      </w:pPr>
      <w:r>
        <w:rPr>
          <w:rFonts w:hint="eastAsia"/>
        </w:rPr>
        <w:t>中华人民共和国国家标准</w:t>
      </w:r>
    </w:p>
    <w:p>
      <w:pPr>
        <w:pStyle w:val="42"/>
        <w:framePr w:wrap="around" w:vAnchor="margin" w:hAnchor="text" w:y="1"/>
      </w:pPr>
      <w:r>
        <w:rPr>
          <w:rFonts w:ascii="Times New Roman"/>
        </w:rPr>
        <w:t xml:space="preserve">GB/T </w:t>
      </w:r>
      <w:r>
        <w:fldChar w:fldCharType="begin">
          <w:ffData>
            <w:name w:val="StdNo1"/>
            <w:enabled/>
            <w:calcOnExit w:val="0"/>
            <w:textInput>
              <w:default w:val="XXXXX"/>
            </w:textInput>
          </w:ffData>
        </w:fldChar>
      </w:r>
      <w:bookmarkStart w:id="2" w:name="StdNo1"/>
      <w:r>
        <w:instrText xml:space="preserve"> FORMTEXT </w:instrText>
      </w:r>
      <w:r>
        <w:fldChar w:fldCharType="separate"/>
      </w:r>
      <w:r>
        <w:t>XXXXX</w:t>
      </w:r>
      <w:r>
        <w:fldChar w:fldCharType="end"/>
      </w:r>
      <w:bookmarkEnd w:id="2"/>
      <w:r>
        <w:t>—</w:t>
      </w:r>
      <w:r>
        <w:fldChar w:fldCharType="begin">
          <w:ffData>
            <w:name w:val="StdNo2"/>
            <w:enabled/>
            <w:calcOnExit w:val="0"/>
            <w:textInput>
              <w:default w:val="XXXX"/>
              <w:maxLength w:val="4"/>
            </w:textInput>
          </w:ffData>
        </w:fldChar>
      </w:r>
      <w:bookmarkStart w:id="3" w:name="StdNo2"/>
      <w:r>
        <w:instrText xml:space="preserve"> FORMTEXT </w:instrText>
      </w:r>
      <w:r>
        <w:fldChar w:fldCharType="separate"/>
      </w:r>
      <w:r>
        <w:t>XXXX</w:t>
      </w:r>
      <w:r>
        <w:fldChar w:fldCharType="end"/>
      </w:r>
      <w:bookmarkEnd w:id="3"/>
    </w:p>
    <w:tbl>
      <w:tblPr>
        <w:tblStyle w:val="35"/>
        <w:tblW w:w="93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9356" w:type="dxa"/>
            <w:tcBorders>
              <w:top w:val="nil"/>
              <w:left w:val="nil"/>
              <w:bottom w:val="nil"/>
              <w:right w:val="nil"/>
            </w:tcBorders>
            <w:vAlign w:val="top"/>
          </w:tcPr>
          <w:p>
            <w:pPr>
              <w:pStyle w:val="70"/>
              <w:framePr w:wrap="around" w:vAnchor="margin" w:hAnchor="text" w:y="1"/>
            </w:pPr>
            <w:r>
              <w:rPr>
                <w:rFonts w:ascii="宋体" w:hAnsi="Times New Roman" w:eastAsia="宋体" w:cs="Times New Roman"/>
                <w:sz w:val="21"/>
                <w:szCs w:val="21"/>
                <w:lang w:val="en-US" w:eastAsia="zh-CN" w:bidi="ar-SA"/>
              </w:rPr>
              <w:pict>
                <v:rect id="DT" o:spid="_x0000_s1027" style="position:absolute;left:0;margin-left:372.8pt;margin-top:2.7pt;height:18pt;width:90pt;rotation:0f;z-index:-251658240;" o:ole="f" fillcolor="#FFFFFF" filled="t" o:preferrelative="t" stroked="f" coordsize="21600,21600">
                  <v:imagedata gain="65536f" blacklevel="0f" gamma="0"/>
                  <o:lock v:ext="edit" position="f" selection="f" grouping="f" rotation="f" cropping="f" text="f" aspectratio="f"/>
                </v:rect>
              </w:pict>
            </w:r>
            <w:r>
              <w:fldChar w:fldCharType="begin">
                <w:ffData>
                  <w:name w:val="DT"/>
                  <w:enabled/>
                  <w:calcOnExit w:val="0"/>
                  <w:textInput/>
                </w:ffData>
              </w:fldChar>
            </w:r>
            <w:bookmarkStart w:id="4" w:name="DT"/>
            <w:r>
              <w:instrText xml:space="preserve"> FORMTEXT </w:instrText>
            </w:r>
            <w:r>
              <w:fldChar w:fldCharType="separate"/>
            </w:r>
            <w:r>
              <w:t>     </w:t>
            </w:r>
            <w:r>
              <w:fldChar w:fldCharType="end"/>
            </w:r>
            <w:bookmarkEnd w:id="4"/>
          </w:p>
        </w:tc>
      </w:tr>
    </w:tbl>
    <w:p>
      <w:pPr>
        <w:pStyle w:val="42"/>
        <w:framePr w:wrap="around" w:vAnchor="margin" w:hAnchor="text" w:y="1"/>
      </w:pPr>
    </w:p>
    <w:p>
      <w:pPr>
        <w:pStyle w:val="42"/>
        <w:framePr w:wrap="around" w:vAnchor="margin" w:hAnchor="text" w:y="1"/>
      </w:pPr>
    </w:p>
    <w:p>
      <w:pPr>
        <w:pStyle w:val="72"/>
        <w:framePr w:wrap="around" w:vAnchor="margin" w:hAnchor="text" w:y="1"/>
      </w:pPr>
      <w:r>
        <w:fldChar w:fldCharType="begin">
          <w:ffData>
            <w:name w:val="StdName"/>
            <w:enabled/>
            <w:calcOnExit w:val="0"/>
            <w:textInput>
              <w:default w:val="志愿服务组织基本规范"/>
            </w:textInput>
          </w:ffData>
        </w:fldChar>
      </w:r>
      <w:bookmarkStart w:id="5" w:name="StdName"/>
      <w:r>
        <w:instrText xml:space="preserve"> FORMTEXT </w:instrText>
      </w:r>
      <w:r>
        <w:fldChar w:fldCharType="separate"/>
      </w:r>
      <w:r>
        <w:rPr>
          <w:rFonts w:hint="eastAsia"/>
        </w:rPr>
        <w:t>志愿服务组织基本规范</w:t>
      </w:r>
      <w:r>
        <w:fldChar w:fldCharType="end"/>
      </w:r>
      <w:bookmarkEnd w:id="5"/>
    </w:p>
    <w:p>
      <w:pPr>
        <w:pStyle w:val="73"/>
        <w:framePr/>
      </w:pPr>
      <w:r>
        <w:fldChar w:fldCharType="begin">
          <w:ffData>
            <w:name w:val="StdEnglishName"/>
            <w:enabled/>
            <w:calcOnExit w:val="0"/>
            <w:textInput>
              <w:default w:val="Basic specification for volunteer service organization"/>
            </w:textInput>
          </w:ffData>
        </w:fldChar>
      </w:r>
      <w:bookmarkStart w:id="6" w:name="StdEnglishName"/>
      <w:r>
        <w:instrText xml:space="preserve"> FORMTEXT </w:instrText>
      </w:r>
      <w:r>
        <w:fldChar w:fldCharType="separate"/>
      </w:r>
      <w:r>
        <w:t>Basic specification for volunteer service organization</w:t>
      </w:r>
      <w:r>
        <w:fldChar w:fldCharType="end"/>
      </w:r>
      <w:bookmarkEnd w:id="6"/>
    </w:p>
    <w:p>
      <w:pPr>
        <w:pStyle w:val="74"/>
        <w:framePr/>
      </w:pPr>
      <w:r>
        <w:fldChar w:fldCharType="begin">
          <w:ffData>
            <w:name w:val="YZBS"/>
            <w:enabled/>
            <w:calcOnExit w:val="0"/>
            <w:textInput>
              <w:default w:val="点击此处添加与国际标准一致性程度的标识"/>
            </w:textInput>
          </w:ffData>
        </w:fldChar>
      </w:r>
      <w:bookmarkStart w:id="7" w:name="YZBS"/>
      <w:r>
        <w:instrText xml:space="preserve"> FORMTEXT </w:instrText>
      </w:r>
      <w:r>
        <w:fldChar w:fldCharType="separate"/>
      </w:r>
      <w:r>
        <w:rPr>
          <w:rFonts w:hint="eastAsia"/>
        </w:rPr>
        <w:t>点击此处添加与国际标准一致性程度的标识</w:t>
      </w:r>
      <w:r>
        <w:fldChar w:fldCharType="end"/>
      </w:r>
      <w:bookmarkEnd w:id="7"/>
    </w:p>
    <w:tbl>
      <w:tblPr>
        <w:tblStyle w:val="35"/>
        <w:tblW w:w="98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9855" w:type="dxa"/>
            <w:tcBorders>
              <w:top w:val="nil"/>
              <w:left w:val="nil"/>
              <w:bottom w:val="nil"/>
              <w:right w:val="nil"/>
            </w:tcBorders>
            <w:vAlign w:val="top"/>
          </w:tcPr>
          <w:p>
            <w:pPr>
              <w:pStyle w:val="75"/>
              <w:framePr/>
            </w:pPr>
            <w:r>
              <w:rPr>
                <w:rFonts w:ascii="宋体" w:hAnsi="Times New Roman" w:eastAsia="宋体" w:cs="Times New Roman"/>
                <w:sz w:val="24"/>
                <w:szCs w:val="28"/>
                <w:lang w:val="en-US" w:eastAsia="zh-CN" w:bidi="ar-SA"/>
              </w:rPr>
              <w:pict>
                <v:rect id="RQ" o:spid="_x0000_s1028" style="position:absolute;left:0;margin-left:173.3pt;margin-top:45.15pt;height:20pt;width:150pt;rotation:0f;z-index:-251656192;" o:ole="f" fillcolor="#FFFFFF" filled="t" o:preferrelative="t" stroked="f" coordsize="21600,21600">
                  <v:imagedata gain="65536f" blacklevel="0f" gamma="0"/>
                  <o:lock v:ext="edit" position="f" selection="f" grouping="f" rotation="f" cropping="f" text="f" aspectratio="f"/>
                  <w10:anchorlock/>
                </v:rect>
              </w:pict>
            </w:r>
            <w:r>
              <w:rPr>
                <w:rFonts w:ascii="宋体" w:hAnsi="Times New Roman" w:eastAsia="宋体" w:cs="Times New Roman"/>
                <w:sz w:val="24"/>
                <w:szCs w:val="28"/>
                <w:lang w:val="en-US" w:eastAsia="zh-CN" w:bidi="ar-SA"/>
              </w:rPr>
              <w:pict>
                <v:rect id="LB" o:spid="_x0000_s1029" style="position:absolute;left:0;margin-left:193.3pt;margin-top:20.15pt;height:24pt;width:100pt;rotation:0f;z-index:-251657216;" o:ole="f" fillcolor="#FFFFFF" filled="t" o:preferrelative="t" stroked="f" coordsize="21600,21600">
                  <v:imagedata gain="65536f" blacklevel="0f" gamma="0"/>
                  <o:lock v:ext="edit" position="f" selection="f" grouping="f" rotation="f" cropping="f" text="f" aspectratio="f"/>
                </v:rect>
              </w:pict>
            </w:r>
            <w:r>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8" w:name="LB"/>
            <w:r>
              <w:instrText xml:space="preserve"> FORMDROPDOWN </w:instrText>
            </w:r>
            <w:r>
              <w:fldChar w:fldCharType="separate"/>
            </w:r>
            <w:r>
              <w:fldChar w:fldCharType="end"/>
            </w:r>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9855" w:type="dxa"/>
            <w:tcBorders>
              <w:top w:val="nil"/>
              <w:left w:val="nil"/>
              <w:bottom w:val="nil"/>
              <w:right w:val="nil"/>
            </w:tcBorders>
            <w:vAlign w:val="top"/>
          </w:tcPr>
          <w:p>
            <w:pPr>
              <w:pStyle w:val="76"/>
              <w:framePr/>
            </w:pPr>
            <w:r>
              <w:fldChar w:fldCharType="begin">
                <w:ffData>
                  <w:name w:val="WCRQ"/>
                  <w:enabled/>
                  <w:calcOnExit w:val="0"/>
                  <w:textInput/>
                </w:ffData>
              </w:fldChar>
            </w:r>
            <w:bookmarkStart w:id="9" w:name="WCRQ"/>
            <w:r>
              <w:instrText xml:space="preserve"> FORMTEXT </w:instrText>
            </w:r>
            <w:r>
              <w:fldChar w:fldCharType="separate"/>
            </w:r>
            <w:r>
              <w:t>     </w:t>
            </w:r>
            <w:r>
              <w:fldChar w:fldCharType="end"/>
            </w:r>
            <w:bookmarkEnd w:id="9"/>
          </w:p>
        </w:tc>
      </w:tr>
    </w:tbl>
    <w:p>
      <w:pPr>
        <w:pStyle w:val="122"/>
        <w:framePr w:vAnchor="page" w:hAnchor="page" w:x="1411" w:y="14116"/>
      </w:pPr>
      <w:r>
        <w:rPr>
          <w:rFonts w:ascii="黑体"/>
        </w:rPr>
        <w:fldChar w:fldCharType="begin">
          <w:ffData>
            <w:name w:val="FY"/>
            <w:enabled/>
            <w:calcOnExit w:val="0"/>
            <w:textInput>
              <w:default w:val="XXXX"/>
              <w:maxLength w:val="4"/>
            </w:textInput>
          </w:ffData>
        </w:fldChar>
      </w:r>
      <w:bookmarkStart w:id="10"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11"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2"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r>
        <w:rPr>
          <w:rFonts w:ascii="Times New Roman" w:hAnsi="Times New Roman" w:eastAsia="黑体" w:cs="Times New Roman"/>
          <w:sz w:val="28"/>
          <w:lang w:val="en-US" w:eastAsia="zh-CN" w:bidi="ar-SA"/>
        </w:rPr>
        <w:pict>
          <v:line id="Line 2" o:spid="_x0000_s1030" style="position:absolute;left:0;margin-left:72pt;margin-top:728.25pt;height:0.05pt;width:481.9pt;mso-position-vertical-relative:page;rotation:0f;z-index:2516613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w10:anchorlock/>
          </v:line>
        </w:pict>
      </w:r>
    </w:p>
    <w:p>
      <w:pPr>
        <w:pStyle w:val="123"/>
        <w:framePr w:vAnchor="page" w:hAnchor="page" w:x="7081" w:y="14131"/>
      </w:pPr>
      <w:r>
        <w:rPr>
          <w:rFonts w:ascii="黑体"/>
        </w:rPr>
        <w:fldChar w:fldCharType="begin">
          <w:ffData>
            <w:name w:val="SY"/>
            <w:enabled/>
            <w:calcOnExit w:val="0"/>
            <w:textInput>
              <w:default w:val="XXXX"/>
              <w:maxLength w:val="4"/>
            </w:textInput>
          </w:ffData>
        </w:fldChar>
      </w:r>
      <w:bookmarkStart w:id="13"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4"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5"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pStyle w:val="68"/>
        <w:framePr/>
      </w:pPr>
      <w:r>
        <w:rPr>
          <w:rFonts w:ascii="宋体" w:hAnsi="Times New Roman" w:eastAsia="宋体" w:cs="Times New Roman"/>
          <w:b/>
          <w:spacing w:val="20"/>
          <w:w w:val="135"/>
          <w:sz w:val="28"/>
          <w:lang w:val="en-US" w:eastAsia="zh-CN" w:bidi="ar-SA"/>
        </w:rPr>
        <w:pict>
          <v:shape id="图片 2" o:spid="_x0000_s1031" type="#_x0000_t75" style="height:50pt;width:311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pStyle w:val="21"/>
        <w:sectPr>
          <w:pgSz w:w="11906" w:h="16838"/>
          <w:pgMar w:top="567" w:right="850" w:bottom="1134" w:left="1418" w:header="0" w:footer="0" w:gutter="0"/>
          <w:pgNumType w:start="1"/>
          <w:cols w:space="425" w:num="1"/>
          <w:docGrid w:type="lines" w:linePitch="312" w:charSpace="0"/>
        </w:sectPr>
      </w:pPr>
      <w:r>
        <w:rPr>
          <w:rFonts w:ascii="宋体" w:hAnsi="Times New Roman" w:eastAsia="宋体" w:cs="Times New Roman"/>
          <w:sz w:val="21"/>
          <w:lang w:val="en-US" w:eastAsia="zh-CN" w:bidi="ar-SA"/>
        </w:rPr>
        <w:pict>
          <v:line id="Line 3" o:spid="_x0000_s1032" style="position:absolute;left:0;margin-left:0pt;margin-top:184.25pt;height:0.05pt;width:481.85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pStyle w:val="45"/>
      </w:pPr>
      <w:bookmarkStart w:id="16" w:name="_Toc530475115"/>
      <w:bookmarkStart w:id="17" w:name="_Toc532820451"/>
      <w:bookmarkStart w:id="18" w:name="_Toc532820465"/>
      <w:r>
        <w:rPr>
          <w:rFonts w:hint="eastAsia"/>
        </w:rPr>
        <w:t>目</w:t>
      </w:r>
      <w:bookmarkStart w:id="19" w:name="BKML"/>
      <w:r>
        <w:rPr>
          <w:rFonts w:hAnsi="黑体"/>
        </w:rPr>
        <w:t>  </w:t>
      </w:r>
      <w:r>
        <w:rPr>
          <w:rFonts w:hint="eastAsia"/>
        </w:rPr>
        <w:t>次</w:t>
      </w:r>
      <w:bookmarkEnd w:id="19"/>
    </w:p>
    <w:p>
      <w:pPr>
        <w:pStyle w:val="17"/>
        <w:spacing w:before="78" w:after="78"/>
        <w:rPr>
          <w:rFonts w:ascii="Calibri" w:hAnsi="Calibri" w:eastAsia="宋体" w:cs="黑体"/>
          <w:szCs w:val="22"/>
        </w:rPr>
      </w:pPr>
      <w:r>
        <w:fldChar w:fldCharType="begin" w:fldLock="1"/>
      </w:r>
      <w:r>
        <w:instrText xml:space="preserve"> </w:instrText>
      </w:r>
      <w:r>
        <w:rPr>
          <w:rFonts w:hint="eastAsia"/>
        </w:rPr>
        <w:instrText xml:space="preserve">TOC \h \z \t"前言、引言标题,1,参考文献、索引标题,1,章标题,1,参考文献,1,附录标识,1,一级条标题, 3" \* MERGEFORMAT</w:instrText>
      </w:r>
      <w:r>
        <w:instrText xml:space="preserve"> </w:instrText>
      </w:r>
      <w:r>
        <w:fldChar w:fldCharType="separate"/>
      </w:r>
      <w:r>
        <w:fldChar w:fldCharType="begin"/>
      </w:r>
      <w:r>
        <w:instrText xml:space="preserve">HYPERLINK  \l "_Toc533435850" </w:instrText>
      </w:r>
      <w:r>
        <w:fldChar w:fldCharType="separate"/>
      </w:r>
      <w:r>
        <w:rPr>
          <w:rStyle w:val="33"/>
        </w:rPr>
        <w:t>前言</w:t>
      </w:r>
      <w:r>
        <w:tab/>
      </w:r>
      <w:r>
        <w:fldChar w:fldCharType="begin" w:fldLock="1"/>
      </w:r>
      <w:r>
        <w:instrText xml:space="preserve"> PAGEREF _Toc533435850 \h </w:instrText>
      </w:r>
      <w:r>
        <w:fldChar w:fldCharType="separate"/>
      </w:r>
      <w:r>
        <w:t>II</w:t>
      </w:r>
      <w:r>
        <w:fldChar w:fldCharType="end"/>
      </w:r>
      <w:r>
        <w:fldChar w:fldCharType="end"/>
      </w:r>
    </w:p>
    <w:p>
      <w:pPr>
        <w:pStyle w:val="17"/>
        <w:spacing w:before="78" w:after="78"/>
        <w:rPr>
          <w:rFonts w:ascii="Calibri" w:hAnsi="Calibri" w:eastAsia="宋体" w:cs="黑体"/>
          <w:szCs w:val="22"/>
        </w:rPr>
      </w:pPr>
      <w:r>
        <w:fldChar w:fldCharType="begin"/>
      </w:r>
      <w:r>
        <w:instrText xml:space="preserve">HYPERLINK  \l "_Toc533435851" </w:instrText>
      </w:r>
      <w:r>
        <w:fldChar w:fldCharType="separate"/>
      </w:r>
      <w:r>
        <w:rPr>
          <w:rStyle w:val="33"/>
        </w:rPr>
        <w:t>1　范围</w:t>
      </w:r>
      <w:r>
        <w:tab/>
      </w:r>
      <w:r>
        <w:fldChar w:fldCharType="begin" w:fldLock="1"/>
      </w:r>
      <w:r>
        <w:instrText xml:space="preserve"> PAGEREF _Toc533435851 \h </w:instrText>
      </w:r>
      <w:r>
        <w:fldChar w:fldCharType="separate"/>
      </w:r>
      <w:r>
        <w:t>1</w:t>
      </w:r>
      <w:r>
        <w:fldChar w:fldCharType="end"/>
      </w:r>
      <w:r>
        <w:fldChar w:fldCharType="end"/>
      </w:r>
    </w:p>
    <w:p>
      <w:pPr>
        <w:pStyle w:val="17"/>
        <w:spacing w:before="78" w:after="78"/>
        <w:rPr>
          <w:rFonts w:ascii="Calibri" w:hAnsi="Calibri" w:eastAsia="宋体" w:cs="黑体"/>
          <w:szCs w:val="22"/>
        </w:rPr>
      </w:pPr>
      <w:r>
        <w:fldChar w:fldCharType="begin"/>
      </w:r>
      <w:r>
        <w:instrText xml:space="preserve">HYPERLINK  \l "_Toc533435852" </w:instrText>
      </w:r>
      <w:r>
        <w:fldChar w:fldCharType="separate"/>
      </w:r>
      <w:r>
        <w:rPr>
          <w:rStyle w:val="33"/>
        </w:rPr>
        <w:t>2　规范性引用文件</w:t>
      </w:r>
      <w:r>
        <w:tab/>
      </w:r>
      <w:r>
        <w:fldChar w:fldCharType="begin" w:fldLock="1"/>
      </w:r>
      <w:r>
        <w:instrText xml:space="preserve"> PAGEREF _Toc533435852 \h </w:instrText>
      </w:r>
      <w:r>
        <w:fldChar w:fldCharType="separate"/>
      </w:r>
      <w:r>
        <w:t>1</w:t>
      </w:r>
      <w:r>
        <w:fldChar w:fldCharType="end"/>
      </w:r>
      <w:r>
        <w:fldChar w:fldCharType="end"/>
      </w:r>
    </w:p>
    <w:p>
      <w:pPr>
        <w:pStyle w:val="17"/>
        <w:spacing w:before="78" w:after="78"/>
        <w:rPr>
          <w:rFonts w:ascii="Calibri" w:hAnsi="Calibri" w:eastAsia="宋体" w:cs="黑体"/>
          <w:szCs w:val="22"/>
        </w:rPr>
      </w:pPr>
      <w:r>
        <w:fldChar w:fldCharType="begin"/>
      </w:r>
      <w:r>
        <w:instrText xml:space="preserve">HYPERLINK  \l "_Toc533435853" </w:instrText>
      </w:r>
      <w:r>
        <w:fldChar w:fldCharType="separate"/>
      </w:r>
      <w:r>
        <w:rPr>
          <w:rStyle w:val="33"/>
        </w:rPr>
        <w:t>3　术语和定义</w:t>
      </w:r>
      <w:r>
        <w:tab/>
      </w:r>
      <w:r>
        <w:fldChar w:fldCharType="begin" w:fldLock="1"/>
      </w:r>
      <w:r>
        <w:instrText xml:space="preserve"> PAGEREF _Toc533435853 \h </w:instrText>
      </w:r>
      <w:r>
        <w:fldChar w:fldCharType="separate"/>
      </w:r>
      <w:r>
        <w:t>1</w:t>
      </w:r>
      <w:r>
        <w:fldChar w:fldCharType="end"/>
      </w:r>
      <w:r>
        <w:fldChar w:fldCharType="end"/>
      </w:r>
    </w:p>
    <w:p>
      <w:pPr>
        <w:pStyle w:val="17"/>
        <w:spacing w:before="78" w:after="78"/>
        <w:rPr>
          <w:rFonts w:ascii="Calibri" w:hAnsi="Calibri" w:eastAsia="宋体" w:cs="黑体"/>
          <w:szCs w:val="22"/>
        </w:rPr>
      </w:pPr>
      <w:r>
        <w:fldChar w:fldCharType="begin"/>
      </w:r>
      <w:r>
        <w:instrText xml:space="preserve">HYPERLINK  \l "_Toc533435862" </w:instrText>
      </w:r>
      <w:r>
        <w:fldChar w:fldCharType="separate"/>
      </w:r>
      <w:r>
        <w:rPr>
          <w:rStyle w:val="33"/>
        </w:rPr>
        <w:t>4　基本要求</w:t>
      </w:r>
      <w:r>
        <w:tab/>
      </w:r>
      <w:r>
        <w:fldChar w:fldCharType="begin" w:fldLock="1"/>
      </w:r>
      <w:r>
        <w:instrText xml:space="preserve"> PAGEREF _Toc533435862 \h </w:instrText>
      </w:r>
      <w:r>
        <w:fldChar w:fldCharType="separate"/>
      </w:r>
      <w:r>
        <w:t>1</w:t>
      </w:r>
      <w:r>
        <w:fldChar w:fldCharType="end"/>
      </w:r>
      <w:r>
        <w:fldChar w:fldCharType="end"/>
      </w:r>
    </w:p>
    <w:p>
      <w:pPr>
        <w:pStyle w:val="10"/>
        <w:ind w:firstLine="210"/>
        <w:rPr>
          <w:rFonts w:ascii="Calibri" w:hAnsi="Calibri" w:eastAsia="宋体" w:cs="黑体"/>
          <w:szCs w:val="22"/>
        </w:rPr>
      </w:pPr>
      <w:r>
        <w:fldChar w:fldCharType="begin"/>
      </w:r>
      <w:r>
        <w:instrText xml:space="preserve">HYPERLINK  \l "_Toc533435863" </w:instrText>
      </w:r>
      <w:r>
        <w:fldChar w:fldCharType="separate"/>
      </w:r>
      <w:r>
        <w:rPr>
          <w:rStyle w:val="33"/>
        </w:rPr>
        <w:t>4.1　组织成立条件</w:t>
      </w:r>
      <w:r>
        <w:tab/>
      </w:r>
      <w:r>
        <w:fldChar w:fldCharType="begin" w:fldLock="1"/>
      </w:r>
      <w:r>
        <w:instrText xml:space="preserve"> PAGEREF _Toc533435863 \h </w:instrText>
      </w:r>
      <w:r>
        <w:fldChar w:fldCharType="separate"/>
      </w:r>
      <w:r>
        <w:t>1</w:t>
      </w:r>
      <w:r>
        <w:fldChar w:fldCharType="end"/>
      </w:r>
      <w:r>
        <w:fldChar w:fldCharType="end"/>
      </w:r>
    </w:p>
    <w:p>
      <w:pPr>
        <w:pStyle w:val="10"/>
        <w:ind w:firstLine="210"/>
        <w:rPr>
          <w:rFonts w:ascii="Calibri" w:hAnsi="Calibri" w:eastAsia="宋体" w:cs="黑体"/>
          <w:szCs w:val="22"/>
        </w:rPr>
      </w:pPr>
      <w:r>
        <w:fldChar w:fldCharType="begin"/>
      </w:r>
      <w:r>
        <w:instrText xml:space="preserve">HYPERLINK  \l "_Toc533435864" </w:instrText>
      </w:r>
      <w:r>
        <w:fldChar w:fldCharType="separate"/>
      </w:r>
      <w:r>
        <w:rPr>
          <w:rStyle w:val="33"/>
        </w:rPr>
        <w:t>4.2　组织成员</w:t>
      </w:r>
      <w:r>
        <w:tab/>
      </w:r>
      <w:r>
        <w:fldChar w:fldCharType="begin" w:fldLock="1"/>
      </w:r>
      <w:r>
        <w:instrText xml:space="preserve"> PAGEREF _Toc533435864 \h </w:instrText>
      </w:r>
      <w:r>
        <w:fldChar w:fldCharType="separate"/>
      </w:r>
      <w:r>
        <w:t>2</w:t>
      </w:r>
      <w:r>
        <w:fldChar w:fldCharType="end"/>
      </w:r>
      <w:r>
        <w:fldChar w:fldCharType="end"/>
      </w:r>
    </w:p>
    <w:p>
      <w:pPr>
        <w:pStyle w:val="10"/>
        <w:ind w:firstLine="210"/>
        <w:rPr>
          <w:rFonts w:ascii="Calibri" w:hAnsi="Calibri" w:eastAsia="宋体" w:cs="黑体"/>
          <w:szCs w:val="22"/>
        </w:rPr>
      </w:pPr>
      <w:r>
        <w:fldChar w:fldCharType="begin"/>
      </w:r>
      <w:r>
        <w:instrText xml:space="preserve">HYPERLINK  \l "_Toc533435865" </w:instrText>
      </w:r>
      <w:r>
        <w:fldChar w:fldCharType="separate"/>
      </w:r>
      <w:r>
        <w:rPr>
          <w:rStyle w:val="33"/>
        </w:rPr>
        <w:t>4.3　行为要求</w:t>
      </w:r>
      <w:r>
        <w:tab/>
      </w:r>
      <w:r>
        <w:fldChar w:fldCharType="begin" w:fldLock="1"/>
      </w:r>
      <w:r>
        <w:instrText xml:space="preserve"> PAGEREF _Toc533435865 \h </w:instrText>
      </w:r>
      <w:r>
        <w:fldChar w:fldCharType="separate"/>
      </w:r>
      <w:r>
        <w:t>2</w:t>
      </w:r>
      <w:r>
        <w:fldChar w:fldCharType="end"/>
      </w:r>
      <w:r>
        <w:fldChar w:fldCharType="end"/>
      </w:r>
    </w:p>
    <w:p>
      <w:pPr>
        <w:pStyle w:val="10"/>
        <w:ind w:firstLine="210"/>
        <w:rPr>
          <w:rFonts w:ascii="Calibri" w:hAnsi="Calibri" w:eastAsia="宋体" w:cs="黑体"/>
          <w:szCs w:val="22"/>
        </w:rPr>
      </w:pPr>
      <w:r>
        <w:fldChar w:fldCharType="begin"/>
      </w:r>
      <w:r>
        <w:instrText xml:space="preserve">HYPERLINK  \l "_Toc533435866" </w:instrText>
      </w:r>
      <w:r>
        <w:fldChar w:fldCharType="separate"/>
      </w:r>
      <w:r>
        <w:rPr>
          <w:rStyle w:val="33"/>
        </w:rPr>
        <w:t>4.4　其他要求</w:t>
      </w:r>
      <w:r>
        <w:tab/>
      </w:r>
      <w:r>
        <w:fldChar w:fldCharType="begin" w:fldLock="1"/>
      </w:r>
      <w:r>
        <w:instrText xml:space="preserve"> PAGEREF _Toc533435866 \h </w:instrText>
      </w:r>
      <w:r>
        <w:fldChar w:fldCharType="separate"/>
      </w:r>
      <w:r>
        <w:t>2</w:t>
      </w:r>
      <w:r>
        <w:fldChar w:fldCharType="end"/>
      </w:r>
      <w:r>
        <w:fldChar w:fldCharType="end"/>
      </w:r>
    </w:p>
    <w:p>
      <w:pPr>
        <w:pStyle w:val="17"/>
        <w:spacing w:before="78" w:after="78"/>
        <w:rPr>
          <w:rFonts w:ascii="Calibri" w:hAnsi="Calibri" w:eastAsia="宋体" w:cs="黑体"/>
          <w:szCs w:val="22"/>
        </w:rPr>
      </w:pPr>
      <w:r>
        <w:fldChar w:fldCharType="begin"/>
      </w:r>
      <w:r>
        <w:instrText xml:space="preserve">HYPERLINK  \l "_Toc533435867" </w:instrText>
      </w:r>
      <w:r>
        <w:fldChar w:fldCharType="separate"/>
      </w:r>
      <w:r>
        <w:rPr>
          <w:rStyle w:val="33"/>
        </w:rPr>
        <w:t>5　服务管理</w:t>
      </w:r>
      <w:r>
        <w:tab/>
      </w:r>
      <w:r>
        <w:fldChar w:fldCharType="begin" w:fldLock="1"/>
      </w:r>
      <w:r>
        <w:instrText xml:space="preserve"> PAGEREF _Toc533435867 \h </w:instrText>
      </w:r>
      <w:r>
        <w:fldChar w:fldCharType="separate"/>
      </w:r>
      <w:r>
        <w:t>2</w:t>
      </w:r>
      <w:r>
        <w:fldChar w:fldCharType="end"/>
      </w:r>
      <w:r>
        <w:fldChar w:fldCharType="end"/>
      </w:r>
    </w:p>
    <w:p>
      <w:pPr>
        <w:pStyle w:val="10"/>
        <w:ind w:firstLine="210"/>
        <w:rPr>
          <w:rFonts w:ascii="Calibri" w:hAnsi="Calibri" w:eastAsia="宋体" w:cs="黑体"/>
          <w:szCs w:val="22"/>
        </w:rPr>
      </w:pPr>
      <w:r>
        <w:fldChar w:fldCharType="begin"/>
      </w:r>
      <w:r>
        <w:instrText xml:space="preserve">HYPERLINK  \l "_Toc533435868" </w:instrText>
      </w:r>
      <w:r>
        <w:fldChar w:fldCharType="separate"/>
      </w:r>
      <w:r>
        <w:rPr>
          <w:rStyle w:val="33"/>
        </w:rPr>
        <w:t>5.1　服务类别</w:t>
      </w:r>
      <w:r>
        <w:tab/>
      </w:r>
      <w:r>
        <w:fldChar w:fldCharType="begin" w:fldLock="1"/>
      </w:r>
      <w:r>
        <w:instrText xml:space="preserve"> PAGEREF _Toc533435868 \h </w:instrText>
      </w:r>
      <w:r>
        <w:fldChar w:fldCharType="separate"/>
      </w:r>
      <w:r>
        <w:t>2</w:t>
      </w:r>
      <w:r>
        <w:fldChar w:fldCharType="end"/>
      </w:r>
      <w:r>
        <w:fldChar w:fldCharType="end"/>
      </w:r>
    </w:p>
    <w:p>
      <w:pPr>
        <w:pStyle w:val="10"/>
        <w:ind w:firstLine="210"/>
        <w:rPr>
          <w:rFonts w:ascii="Calibri" w:hAnsi="Calibri" w:eastAsia="宋体" w:cs="黑体"/>
          <w:szCs w:val="22"/>
        </w:rPr>
      </w:pPr>
      <w:r>
        <w:fldChar w:fldCharType="begin"/>
      </w:r>
      <w:r>
        <w:instrText xml:space="preserve">HYPERLINK  \l "_Toc533435869" </w:instrText>
      </w:r>
      <w:r>
        <w:fldChar w:fldCharType="separate"/>
      </w:r>
      <w:r>
        <w:rPr>
          <w:rStyle w:val="33"/>
        </w:rPr>
        <w:t>5.2　服务流程</w:t>
      </w:r>
      <w:r>
        <w:tab/>
      </w:r>
      <w:r>
        <w:fldChar w:fldCharType="begin" w:fldLock="1"/>
      </w:r>
      <w:r>
        <w:instrText xml:space="preserve"> PAGEREF _Toc533435869 \h </w:instrText>
      </w:r>
      <w:r>
        <w:fldChar w:fldCharType="separate"/>
      </w:r>
      <w:r>
        <w:t>3</w:t>
      </w:r>
      <w:r>
        <w:fldChar w:fldCharType="end"/>
      </w:r>
      <w:r>
        <w:fldChar w:fldCharType="end"/>
      </w:r>
    </w:p>
    <w:p>
      <w:pPr>
        <w:pStyle w:val="17"/>
        <w:spacing w:before="78" w:after="78"/>
        <w:rPr>
          <w:rFonts w:ascii="Calibri" w:hAnsi="Calibri" w:eastAsia="宋体" w:cs="黑体"/>
          <w:szCs w:val="22"/>
        </w:rPr>
      </w:pPr>
      <w:r>
        <w:fldChar w:fldCharType="begin"/>
      </w:r>
      <w:r>
        <w:instrText xml:space="preserve">HYPERLINK  \l "_Toc533435870" </w:instrText>
      </w:r>
      <w:r>
        <w:fldChar w:fldCharType="separate"/>
      </w:r>
      <w:r>
        <w:rPr>
          <w:rStyle w:val="33"/>
        </w:rPr>
        <w:t>6　组织管理</w:t>
      </w:r>
      <w:r>
        <w:tab/>
      </w:r>
      <w:r>
        <w:fldChar w:fldCharType="begin" w:fldLock="1"/>
      </w:r>
      <w:r>
        <w:instrText xml:space="preserve"> PAGEREF _Toc533435870 \h </w:instrText>
      </w:r>
      <w:r>
        <w:fldChar w:fldCharType="separate"/>
      </w:r>
      <w:r>
        <w:t>3</w:t>
      </w:r>
      <w:r>
        <w:fldChar w:fldCharType="end"/>
      </w:r>
      <w:r>
        <w:fldChar w:fldCharType="end"/>
      </w:r>
    </w:p>
    <w:p>
      <w:pPr>
        <w:pStyle w:val="10"/>
        <w:ind w:firstLine="210"/>
        <w:rPr>
          <w:rFonts w:ascii="Calibri" w:hAnsi="Calibri" w:eastAsia="宋体" w:cs="黑体"/>
          <w:szCs w:val="22"/>
        </w:rPr>
      </w:pPr>
      <w:r>
        <w:fldChar w:fldCharType="begin"/>
      </w:r>
      <w:r>
        <w:instrText xml:space="preserve">HYPERLINK  \l "_Toc533435871" </w:instrText>
      </w:r>
      <w:r>
        <w:fldChar w:fldCharType="separate"/>
      </w:r>
      <w:r>
        <w:rPr>
          <w:rStyle w:val="33"/>
        </w:rPr>
        <w:t>6.1　内部管理</w:t>
      </w:r>
      <w:r>
        <w:tab/>
      </w:r>
      <w:r>
        <w:fldChar w:fldCharType="begin" w:fldLock="1"/>
      </w:r>
      <w:r>
        <w:instrText xml:space="preserve"> PAGEREF _Toc533435871 \h </w:instrText>
      </w:r>
      <w:r>
        <w:fldChar w:fldCharType="separate"/>
      </w:r>
      <w:r>
        <w:t>3</w:t>
      </w:r>
      <w:r>
        <w:fldChar w:fldCharType="end"/>
      </w:r>
      <w:r>
        <w:fldChar w:fldCharType="end"/>
      </w:r>
    </w:p>
    <w:p>
      <w:pPr>
        <w:pStyle w:val="10"/>
        <w:ind w:firstLine="210"/>
        <w:rPr>
          <w:rFonts w:ascii="Calibri" w:hAnsi="Calibri" w:eastAsia="宋体" w:cs="黑体"/>
          <w:szCs w:val="22"/>
        </w:rPr>
      </w:pPr>
      <w:r>
        <w:fldChar w:fldCharType="begin"/>
      </w:r>
      <w:r>
        <w:instrText xml:space="preserve">HYPERLINK  \l "_Toc533435872" </w:instrText>
      </w:r>
      <w:r>
        <w:fldChar w:fldCharType="separate"/>
      </w:r>
      <w:r>
        <w:rPr>
          <w:rStyle w:val="33"/>
        </w:rPr>
        <w:t>6.2　志愿者管理</w:t>
      </w:r>
      <w:r>
        <w:tab/>
      </w:r>
      <w:r>
        <w:fldChar w:fldCharType="begin" w:fldLock="1"/>
      </w:r>
      <w:r>
        <w:instrText xml:space="preserve"> PAGEREF _Toc533435872 \h </w:instrText>
      </w:r>
      <w:r>
        <w:fldChar w:fldCharType="separate"/>
      </w:r>
      <w:r>
        <w:t>4</w:t>
      </w:r>
      <w:r>
        <w:fldChar w:fldCharType="end"/>
      </w:r>
      <w:r>
        <w:fldChar w:fldCharType="end"/>
      </w:r>
    </w:p>
    <w:p>
      <w:pPr>
        <w:pStyle w:val="10"/>
        <w:ind w:firstLine="210"/>
        <w:rPr>
          <w:rFonts w:ascii="Calibri" w:hAnsi="Calibri" w:eastAsia="宋体" w:cs="黑体"/>
          <w:szCs w:val="22"/>
        </w:rPr>
      </w:pPr>
      <w:r>
        <w:fldChar w:fldCharType="begin"/>
      </w:r>
      <w:r>
        <w:instrText xml:space="preserve">HYPERLINK  \l "_Toc533435873" </w:instrText>
      </w:r>
      <w:r>
        <w:fldChar w:fldCharType="separate"/>
      </w:r>
      <w:r>
        <w:rPr>
          <w:rStyle w:val="33"/>
        </w:rPr>
        <w:t>6.3　项目管理</w:t>
      </w:r>
      <w:r>
        <w:tab/>
      </w:r>
      <w:r>
        <w:fldChar w:fldCharType="begin" w:fldLock="1"/>
      </w:r>
      <w:r>
        <w:instrText xml:space="preserve"> PAGEREF _Toc533435873 \h </w:instrText>
      </w:r>
      <w:r>
        <w:fldChar w:fldCharType="separate"/>
      </w:r>
      <w:r>
        <w:t>4</w:t>
      </w:r>
      <w:r>
        <w:fldChar w:fldCharType="end"/>
      </w:r>
      <w:r>
        <w:fldChar w:fldCharType="end"/>
      </w:r>
    </w:p>
    <w:p>
      <w:pPr>
        <w:pStyle w:val="10"/>
        <w:ind w:firstLine="210"/>
        <w:rPr>
          <w:rFonts w:ascii="Calibri" w:hAnsi="Calibri" w:eastAsia="宋体" w:cs="黑体"/>
          <w:szCs w:val="22"/>
        </w:rPr>
      </w:pPr>
      <w:r>
        <w:fldChar w:fldCharType="begin"/>
      </w:r>
      <w:r>
        <w:instrText xml:space="preserve">HYPERLINK  \l "_Toc533435874" </w:instrText>
      </w:r>
      <w:r>
        <w:fldChar w:fldCharType="separate"/>
      </w:r>
      <w:r>
        <w:rPr>
          <w:rStyle w:val="33"/>
        </w:rPr>
        <w:t>6.4　文件、记录、档案管理</w:t>
      </w:r>
      <w:r>
        <w:tab/>
      </w:r>
      <w:r>
        <w:fldChar w:fldCharType="begin" w:fldLock="1"/>
      </w:r>
      <w:r>
        <w:instrText xml:space="preserve"> PAGEREF _Toc533435874 \h </w:instrText>
      </w:r>
      <w:r>
        <w:fldChar w:fldCharType="separate"/>
      </w:r>
      <w:r>
        <w:t>5</w:t>
      </w:r>
      <w:r>
        <w:fldChar w:fldCharType="end"/>
      </w:r>
      <w:r>
        <w:fldChar w:fldCharType="end"/>
      </w:r>
    </w:p>
    <w:p>
      <w:pPr>
        <w:pStyle w:val="10"/>
        <w:ind w:firstLine="210"/>
        <w:rPr>
          <w:rFonts w:ascii="Calibri" w:hAnsi="Calibri" w:eastAsia="宋体" w:cs="黑体"/>
          <w:szCs w:val="22"/>
        </w:rPr>
      </w:pPr>
      <w:r>
        <w:fldChar w:fldCharType="begin"/>
      </w:r>
      <w:r>
        <w:instrText xml:space="preserve">HYPERLINK  \l "_Toc533435875" </w:instrText>
      </w:r>
      <w:r>
        <w:fldChar w:fldCharType="separate"/>
      </w:r>
      <w:r>
        <w:rPr>
          <w:rStyle w:val="33"/>
        </w:rPr>
        <w:t>6.5　安全与应急</w:t>
      </w:r>
      <w:r>
        <w:tab/>
      </w:r>
      <w:r>
        <w:fldChar w:fldCharType="begin" w:fldLock="1"/>
      </w:r>
      <w:r>
        <w:instrText xml:space="preserve"> PAGEREF _Toc533435875 \h </w:instrText>
      </w:r>
      <w:r>
        <w:fldChar w:fldCharType="separate"/>
      </w:r>
      <w:r>
        <w:t>5</w:t>
      </w:r>
      <w:r>
        <w:fldChar w:fldCharType="end"/>
      </w:r>
      <w:r>
        <w:fldChar w:fldCharType="end"/>
      </w:r>
    </w:p>
    <w:p>
      <w:pPr>
        <w:pStyle w:val="17"/>
        <w:spacing w:before="78" w:after="78"/>
        <w:rPr>
          <w:rFonts w:ascii="Calibri" w:hAnsi="Calibri" w:eastAsia="宋体" w:cs="黑体"/>
          <w:szCs w:val="22"/>
        </w:rPr>
      </w:pPr>
      <w:r>
        <w:fldChar w:fldCharType="begin"/>
      </w:r>
      <w:r>
        <w:instrText xml:space="preserve">HYPERLINK  \l "_Toc533435876" </w:instrText>
      </w:r>
      <w:r>
        <w:fldChar w:fldCharType="separate"/>
      </w:r>
      <w:r>
        <w:rPr>
          <w:rStyle w:val="33"/>
        </w:rPr>
        <w:t>7　评估与改进</w:t>
      </w:r>
      <w:r>
        <w:tab/>
      </w:r>
      <w:r>
        <w:fldChar w:fldCharType="begin" w:fldLock="1"/>
      </w:r>
      <w:r>
        <w:instrText xml:space="preserve"> PAGEREF _Toc533435876 \h </w:instrText>
      </w:r>
      <w:r>
        <w:fldChar w:fldCharType="separate"/>
      </w:r>
      <w:r>
        <w:t>6</w:t>
      </w:r>
      <w:r>
        <w:fldChar w:fldCharType="end"/>
      </w:r>
      <w:r>
        <w:fldChar w:fldCharType="end"/>
      </w:r>
    </w:p>
    <w:p>
      <w:pPr>
        <w:pStyle w:val="10"/>
        <w:ind w:firstLine="210"/>
        <w:rPr>
          <w:rFonts w:ascii="Calibri" w:hAnsi="Calibri" w:eastAsia="宋体" w:cs="黑体"/>
          <w:szCs w:val="22"/>
        </w:rPr>
      </w:pPr>
      <w:r>
        <w:fldChar w:fldCharType="begin"/>
      </w:r>
      <w:r>
        <w:instrText xml:space="preserve">HYPERLINK  \l "_Toc533435877" </w:instrText>
      </w:r>
      <w:r>
        <w:fldChar w:fldCharType="separate"/>
      </w:r>
      <w:r>
        <w:rPr>
          <w:rStyle w:val="33"/>
        </w:rPr>
        <w:t>7.1　组织评估</w:t>
      </w:r>
      <w:r>
        <w:tab/>
      </w:r>
      <w:r>
        <w:fldChar w:fldCharType="begin" w:fldLock="1"/>
      </w:r>
      <w:r>
        <w:instrText xml:space="preserve"> PAGEREF _Toc533435877 \h </w:instrText>
      </w:r>
      <w:r>
        <w:fldChar w:fldCharType="separate"/>
      </w:r>
      <w:r>
        <w:t>6</w:t>
      </w:r>
      <w:r>
        <w:fldChar w:fldCharType="end"/>
      </w:r>
      <w:r>
        <w:fldChar w:fldCharType="end"/>
      </w:r>
    </w:p>
    <w:p>
      <w:pPr>
        <w:pStyle w:val="10"/>
        <w:ind w:firstLine="210"/>
        <w:rPr>
          <w:rFonts w:ascii="Calibri" w:hAnsi="Calibri" w:eastAsia="宋体" w:cs="黑体"/>
          <w:szCs w:val="22"/>
        </w:rPr>
      </w:pPr>
      <w:r>
        <w:fldChar w:fldCharType="begin"/>
      </w:r>
      <w:r>
        <w:instrText xml:space="preserve">HYPERLINK  \l "_Toc533435878" </w:instrText>
      </w:r>
      <w:r>
        <w:fldChar w:fldCharType="separate"/>
      </w:r>
      <w:r>
        <w:rPr>
          <w:rStyle w:val="33"/>
        </w:rPr>
        <w:t>7.2　持续改进</w:t>
      </w:r>
      <w:r>
        <w:tab/>
      </w:r>
      <w:r>
        <w:fldChar w:fldCharType="begin" w:fldLock="1"/>
      </w:r>
      <w:r>
        <w:instrText xml:space="preserve"> PAGEREF _Toc533435878 \h </w:instrText>
      </w:r>
      <w:r>
        <w:fldChar w:fldCharType="separate"/>
      </w:r>
      <w:r>
        <w:t>6</w:t>
      </w:r>
      <w:r>
        <w:fldChar w:fldCharType="end"/>
      </w:r>
      <w:r>
        <w:fldChar w:fldCharType="end"/>
      </w:r>
    </w:p>
    <w:p>
      <w:pPr>
        <w:pStyle w:val="17"/>
        <w:spacing w:before="78" w:after="78"/>
        <w:rPr>
          <w:rFonts w:ascii="Calibri" w:hAnsi="Calibri" w:eastAsia="宋体" w:cs="黑体"/>
          <w:szCs w:val="22"/>
        </w:rPr>
      </w:pPr>
      <w:r>
        <w:fldChar w:fldCharType="begin"/>
      </w:r>
      <w:r>
        <w:instrText xml:space="preserve">HYPERLINK  \l "_Toc533435879" </w:instrText>
      </w:r>
      <w:r>
        <w:fldChar w:fldCharType="separate"/>
      </w:r>
      <w:r>
        <w:rPr>
          <w:rStyle w:val="33"/>
        </w:rPr>
        <w:t>附录A（规范性附录）　志愿服务组织评价方法</w:t>
      </w:r>
      <w:r>
        <w:tab/>
      </w:r>
      <w:r>
        <w:fldChar w:fldCharType="begin" w:fldLock="1"/>
      </w:r>
      <w:r>
        <w:instrText xml:space="preserve"> PAGEREF _Toc533435879 \h </w:instrText>
      </w:r>
      <w:r>
        <w:fldChar w:fldCharType="separate"/>
      </w:r>
      <w:r>
        <w:t>7</w:t>
      </w:r>
      <w:r>
        <w:fldChar w:fldCharType="end"/>
      </w:r>
      <w:r>
        <w:fldChar w:fldCharType="end"/>
      </w:r>
    </w:p>
    <w:p>
      <w:pPr>
        <w:pStyle w:val="17"/>
        <w:spacing w:before="78" w:after="78"/>
        <w:rPr>
          <w:rFonts w:ascii="Calibri" w:hAnsi="Calibri" w:eastAsia="宋体" w:cs="黑体"/>
          <w:szCs w:val="22"/>
        </w:rPr>
      </w:pPr>
      <w:r>
        <w:fldChar w:fldCharType="begin"/>
      </w:r>
      <w:r>
        <w:instrText xml:space="preserve">HYPERLINK  \l "_Toc533435880" </w:instrText>
      </w:r>
      <w:r>
        <w:fldChar w:fldCharType="separate"/>
      </w:r>
      <w:r>
        <w:rPr>
          <w:rStyle w:val="33"/>
        </w:rPr>
        <w:t>附录B（资料性附录）　志愿服务组织评价示例</w:t>
      </w:r>
      <w:r>
        <w:tab/>
      </w:r>
      <w:r>
        <w:fldChar w:fldCharType="begin" w:fldLock="1"/>
      </w:r>
      <w:r>
        <w:instrText xml:space="preserve"> PAGEREF _Toc533435880 \h </w:instrText>
      </w:r>
      <w:r>
        <w:fldChar w:fldCharType="separate"/>
      </w:r>
      <w:r>
        <w:t>14</w:t>
      </w:r>
      <w:r>
        <w:fldChar w:fldCharType="end"/>
      </w:r>
      <w:r>
        <w:fldChar w:fldCharType="end"/>
      </w:r>
    </w:p>
    <w:p>
      <w:pPr>
        <w:pStyle w:val="17"/>
        <w:spacing w:before="78" w:after="78"/>
        <w:rPr>
          <w:rFonts w:ascii="Calibri" w:hAnsi="Calibri" w:eastAsia="宋体" w:cs="黑体"/>
          <w:szCs w:val="22"/>
        </w:rPr>
      </w:pPr>
      <w:r>
        <w:fldChar w:fldCharType="begin"/>
      </w:r>
      <w:r>
        <w:instrText xml:space="preserve">HYPERLINK  \l "_Toc533435881" </w:instrText>
      </w:r>
      <w:r>
        <w:fldChar w:fldCharType="separate"/>
      </w:r>
      <w:r>
        <w:rPr>
          <w:rStyle w:val="33"/>
        </w:rPr>
        <w:t>参考文献</w:t>
      </w:r>
      <w:r>
        <w:tab/>
      </w:r>
      <w:r>
        <w:fldChar w:fldCharType="begin" w:fldLock="1"/>
      </w:r>
      <w:r>
        <w:instrText xml:space="preserve"> PAGEREF _Toc533435881 \h </w:instrText>
      </w:r>
      <w:r>
        <w:fldChar w:fldCharType="separate"/>
      </w:r>
      <w:r>
        <w:t>17</w:t>
      </w:r>
      <w:r>
        <w:fldChar w:fldCharType="end"/>
      </w:r>
      <w:r>
        <w:fldChar w:fldCharType="end"/>
      </w:r>
    </w:p>
    <w:p>
      <w:pPr>
        <w:pStyle w:val="21"/>
      </w:pPr>
      <w:r>
        <w:fldChar w:fldCharType="end"/>
      </w:r>
    </w:p>
    <w:p>
      <w:pPr>
        <w:pStyle w:val="105"/>
      </w:pPr>
      <w:bookmarkStart w:id="20" w:name="_Toc533435850"/>
      <w:r>
        <w:rPr>
          <w:rFonts w:hint="eastAsia"/>
        </w:rPr>
        <w:t>前</w:t>
      </w:r>
      <w:bookmarkStart w:id="21" w:name="BKQY"/>
      <w:r>
        <w:rPr>
          <w:rFonts w:hAnsi="黑体"/>
        </w:rPr>
        <w:t>  </w:t>
      </w:r>
      <w:r>
        <w:rPr>
          <w:rFonts w:hint="eastAsia"/>
        </w:rPr>
        <w:t>言</w:t>
      </w:r>
      <w:bookmarkEnd w:id="16"/>
      <w:bookmarkEnd w:id="17"/>
      <w:bookmarkEnd w:id="18"/>
      <w:bookmarkEnd w:id="20"/>
      <w:bookmarkEnd w:id="21"/>
    </w:p>
    <w:p>
      <w:pPr>
        <w:pStyle w:val="21"/>
        <w:rPr>
          <w:szCs w:val="21"/>
        </w:rPr>
      </w:pPr>
      <w:r>
        <w:rPr>
          <w:rFonts w:hint="eastAsia"/>
          <w:szCs w:val="21"/>
        </w:rPr>
        <w:t>本标准按照GB/T 1.1-2009给出的规则起草。</w:t>
      </w:r>
    </w:p>
    <w:p>
      <w:pPr>
        <w:pStyle w:val="21"/>
        <w:rPr>
          <w:szCs w:val="21"/>
        </w:rPr>
      </w:pPr>
      <w:r>
        <w:rPr>
          <w:rFonts w:hint="eastAsia"/>
          <w:szCs w:val="21"/>
        </w:rPr>
        <w:t>本标准由民政部</w:t>
      </w:r>
      <w:r>
        <w:rPr>
          <w:rFonts w:hint="eastAsia"/>
          <w:szCs w:val="21"/>
          <w:lang w:eastAsia="zh-CN"/>
        </w:rPr>
        <w:t>慈善事业促进和社会工作司</w:t>
      </w:r>
      <w:r>
        <w:rPr>
          <w:rFonts w:hint="eastAsia"/>
          <w:szCs w:val="21"/>
        </w:rPr>
        <w:t>提出。</w:t>
      </w:r>
    </w:p>
    <w:p>
      <w:pPr>
        <w:pStyle w:val="21"/>
        <w:rPr>
          <w:szCs w:val="21"/>
        </w:rPr>
      </w:pPr>
      <w:r>
        <w:rPr>
          <w:rFonts w:hint="eastAsia"/>
          <w:szCs w:val="21"/>
        </w:rPr>
        <w:t>本标准由</w:t>
      </w:r>
      <w:r>
        <w:rPr>
          <w:rFonts w:hint="eastAsia" w:hAnsi="宋体" w:cs="宋体"/>
          <w:szCs w:val="21"/>
        </w:rPr>
        <w:t>全国社会工作标准化技术委员会（SAC/TC 534）归口</w:t>
      </w:r>
      <w:r>
        <w:rPr>
          <w:rFonts w:hint="eastAsia"/>
          <w:szCs w:val="21"/>
        </w:rPr>
        <w:t>。</w:t>
      </w:r>
    </w:p>
    <w:p>
      <w:pPr>
        <w:pStyle w:val="21"/>
        <w:rPr>
          <w:rFonts w:hAnsi="宋体" w:cs="宋体"/>
          <w:szCs w:val="21"/>
        </w:rPr>
      </w:pPr>
      <w:r>
        <w:rPr>
          <w:rFonts w:hint="eastAsia"/>
          <w:szCs w:val="21"/>
        </w:rPr>
        <w:t>本标准起草单位：</w:t>
      </w:r>
      <w:r>
        <w:rPr>
          <w:rFonts w:hint="eastAsia" w:hAnsi="宋体" w:cs="宋体"/>
          <w:szCs w:val="21"/>
        </w:rPr>
        <w:t>湖北省标准化与质量研究院、中国</w:t>
      </w:r>
      <w:r>
        <w:rPr>
          <w:rFonts w:hAnsi="宋体" w:cs="宋体"/>
          <w:szCs w:val="21"/>
        </w:rPr>
        <w:t>标准化研究院</w:t>
      </w:r>
      <w:r>
        <w:rPr>
          <w:rFonts w:hint="eastAsia" w:hAnsi="宋体" w:cs="宋体"/>
          <w:szCs w:val="21"/>
        </w:rPr>
        <w:t>、湖北省民政厅。</w:t>
      </w:r>
    </w:p>
    <w:p>
      <w:pPr>
        <w:pStyle w:val="21"/>
        <w:rPr>
          <w:szCs w:val="21"/>
        </w:rPr>
      </w:pPr>
      <w:r>
        <w:rPr>
          <w:rFonts w:hint="eastAsia"/>
          <w:szCs w:val="21"/>
        </w:rPr>
        <w:t>本标准主要起草人：。</w:t>
      </w:r>
      <w:bookmarkStart w:id="426" w:name="_GoBack"/>
      <w:bookmarkEnd w:id="426"/>
    </w:p>
    <w:p>
      <w:pPr>
        <w:pStyle w:val="21"/>
      </w:pPr>
    </w:p>
    <w:p>
      <w:pPr>
        <w:pStyle w:val="21"/>
        <w:sectPr>
          <w:headerReference r:id="rId4" w:type="default"/>
          <w:footerReference r:id="rId5" w:type="default"/>
          <w:pgSz w:w="11906" w:h="16838"/>
          <w:pgMar w:top="567" w:right="1134" w:bottom="1134" w:left="1418" w:header="1418" w:footer="1134" w:gutter="0"/>
          <w:pgNumType w:fmt="upperRoman" w:start="1"/>
          <w:cols w:space="425" w:num="1"/>
          <w:formProt w:val="0"/>
          <w:docGrid w:type="lines" w:linePitch="312" w:charSpace="0"/>
        </w:sectPr>
      </w:pPr>
    </w:p>
    <w:p>
      <w:pPr>
        <w:pStyle w:val="45"/>
      </w:pPr>
      <w:r>
        <w:rPr>
          <w:rFonts w:hint="eastAsia"/>
        </w:rPr>
        <w:t>志愿</w:t>
      </w:r>
      <w:r>
        <w:t>服务组织基本规范</w:t>
      </w:r>
    </w:p>
    <w:p>
      <w:pPr>
        <w:pStyle w:val="40"/>
        <w:spacing w:before="312" w:after="312"/>
      </w:pPr>
      <w:bookmarkStart w:id="22" w:name="_Toc530475116"/>
      <w:bookmarkStart w:id="23" w:name="_Toc532820452"/>
      <w:bookmarkStart w:id="24" w:name="_Toc532820466"/>
      <w:bookmarkStart w:id="25" w:name="_Toc533435851"/>
      <w:r>
        <w:rPr>
          <w:rFonts w:hint="eastAsia"/>
        </w:rPr>
        <w:t>范围</w:t>
      </w:r>
      <w:bookmarkEnd w:id="22"/>
      <w:bookmarkEnd w:id="23"/>
      <w:bookmarkEnd w:id="24"/>
      <w:bookmarkEnd w:id="25"/>
    </w:p>
    <w:p>
      <w:pPr>
        <w:pStyle w:val="21"/>
      </w:pPr>
      <w:r>
        <w:rPr>
          <w:rFonts w:hint="eastAsia"/>
        </w:rPr>
        <w:t>本标准规定了志愿服务组织的基本要求、服务管理、组织管理及评估与改进的内容。</w:t>
      </w:r>
    </w:p>
    <w:p>
      <w:pPr>
        <w:pStyle w:val="21"/>
      </w:pPr>
      <w:r>
        <w:rPr>
          <w:rFonts w:hint="eastAsia"/>
        </w:rPr>
        <w:t>本标准适用于志愿服务组织的运行和管理，开展志愿服务的其他组织可参照使用。</w:t>
      </w:r>
    </w:p>
    <w:p>
      <w:pPr>
        <w:pStyle w:val="40"/>
        <w:spacing w:before="312" w:after="312"/>
      </w:pPr>
      <w:bookmarkStart w:id="26" w:name="_Toc530475117"/>
      <w:bookmarkStart w:id="27" w:name="_Toc532820453"/>
      <w:bookmarkStart w:id="28" w:name="_Toc532820467"/>
      <w:bookmarkStart w:id="29" w:name="_Toc533435852"/>
      <w:r>
        <w:rPr>
          <w:rFonts w:hint="eastAsia"/>
        </w:rPr>
        <w:t>规范性引用文件</w:t>
      </w:r>
      <w:bookmarkEnd w:id="26"/>
      <w:bookmarkEnd w:id="27"/>
      <w:bookmarkEnd w:id="28"/>
      <w:bookmarkEnd w:id="29"/>
    </w:p>
    <w:p>
      <w:pPr>
        <w:pStyle w:val="21"/>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21"/>
      </w:pPr>
      <w:r>
        <w:rPr>
          <w:rFonts w:hint="eastAsia"/>
        </w:rPr>
        <w:t>GB 32100 统一社会信用代码</w:t>
      </w:r>
    </w:p>
    <w:p>
      <w:pPr>
        <w:pStyle w:val="40"/>
        <w:spacing w:before="312" w:after="312"/>
      </w:pPr>
      <w:bookmarkStart w:id="30" w:name="_Toc530475118"/>
      <w:bookmarkStart w:id="31" w:name="_Toc532820454"/>
      <w:bookmarkStart w:id="32" w:name="_Toc532820468"/>
      <w:bookmarkStart w:id="33" w:name="_Toc533435853"/>
      <w:r>
        <w:rPr>
          <w:rFonts w:hint="eastAsia"/>
        </w:rPr>
        <w:t>术语</w:t>
      </w:r>
      <w:r>
        <w:t>和</w:t>
      </w:r>
      <w:r>
        <w:rPr>
          <w:rFonts w:hint="eastAsia"/>
        </w:rPr>
        <w:t>定义</w:t>
      </w:r>
      <w:bookmarkEnd w:id="30"/>
      <w:bookmarkEnd w:id="31"/>
      <w:bookmarkEnd w:id="32"/>
      <w:bookmarkEnd w:id="33"/>
    </w:p>
    <w:p>
      <w:pPr>
        <w:pStyle w:val="21"/>
      </w:pPr>
      <w:r>
        <w:rPr>
          <w:rFonts w:hint="eastAsia"/>
        </w:rPr>
        <w:t>下列术语和定义适用于本标准。</w:t>
      </w:r>
    </w:p>
    <w:p>
      <w:pPr>
        <w:pStyle w:val="37"/>
        <w:spacing w:before="156" w:after="156"/>
      </w:pPr>
      <w:bookmarkStart w:id="34" w:name="_Toc530475119"/>
      <w:bookmarkEnd w:id="34"/>
      <w:bookmarkStart w:id="35" w:name="_Toc532820469"/>
      <w:bookmarkEnd w:id="35"/>
      <w:bookmarkStart w:id="36" w:name="_Toc533435854"/>
      <w:bookmarkEnd w:id="36"/>
    </w:p>
    <w:p>
      <w:pPr>
        <w:pStyle w:val="37"/>
        <w:numPr>
          <w:ilvl w:val="1"/>
          <w:numId w:val="0"/>
        </w:numPr>
        <w:spacing w:before="156" w:after="156"/>
      </w:pPr>
      <w:r>
        <w:rPr>
          <w:rFonts w:hint="eastAsia"/>
        </w:rPr>
        <w:t xml:space="preserve">    </w:t>
      </w:r>
      <w:bookmarkStart w:id="37" w:name="_Toc493668764"/>
      <w:bookmarkStart w:id="38" w:name="_Toc493668947"/>
      <w:bookmarkStart w:id="39" w:name="_Toc496687122"/>
      <w:bookmarkStart w:id="40" w:name="_Toc496687216"/>
      <w:bookmarkStart w:id="41" w:name="_Toc502158983"/>
      <w:bookmarkStart w:id="42" w:name="_Toc519070153"/>
      <w:bookmarkStart w:id="43" w:name="_Toc519070456"/>
      <w:bookmarkStart w:id="44" w:name="_Toc519070523"/>
      <w:bookmarkStart w:id="45" w:name="_Toc528331225"/>
      <w:bookmarkStart w:id="46" w:name="_Toc528335725"/>
      <w:bookmarkStart w:id="47" w:name="_Toc530475120"/>
      <w:bookmarkStart w:id="48" w:name="_Toc532820470"/>
      <w:bookmarkStart w:id="49" w:name="_Toc533435855"/>
      <w:r>
        <w:rPr>
          <w:rFonts w:hint="eastAsia"/>
        </w:rPr>
        <w:t xml:space="preserve">志愿服务  </w:t>
      </w:r>
      <w:r>
        <w:t>volunteer service</w:t>
      </w:r>
      <w:bookmarkEnd w:id="37"/>
      <w:bookmarkEnd w:id="38"/>
      <w:bookmarkEnd w:id="39"/>
      <w:bookmarkEnd w:id="40"/>
      <w:bookmarkEnd w:id="41"/>
      <w:bookmarkEnd w:id="42"/>
      <w:bookmarkEnd w:id="43"/>
      <w:bookmarkEnd w:id="44"/>
      <w:bookmarkEnd w:id="45"/>
      <w:bookmarkEnd w:id="46"/>
      <w:bookmarkEnd w:id="47"/>
      <w:bookmarkEnd w:id="48"/>
      <w:bookmarkEnd w:id="49"/>
      <w:r>
        <w:t xml:space="preserve"> </w:t>
      </w:r>
    </w:p>
    <w:p>
      <w:pPr>
        <w:pStyle w:val="21"/>
      </w:pPr>
      <w:bookmarkStart w:id="50" w:name="_Toc493668765"/>
      <w:bookmarkEnd w:id="50"/>
      <w:bookmarkStart w:id="51" w:name="_Toc493668948"/>
      <w:bookmarkEnd w:id="51"/>
      <w:bookmarkStart w:id="52" w:name="_Toc496687123"/>
      <w:bookmarkEnd w:id="52"/>
      <w:bookmarkStart w:id="53" w:name="_Toc496687217"/>
      <w:bookmarkEnd w:id="53"/>
      <w:r>
        <w:rPr>
          <w:rFonts w:hint="eastAsia"/>
        </w:rPr>
        <w:t>志愿者、志愿服务组织和其他组织自愿、无偿向社会或他人提供的公益服务</w:t>
      </w:r>
      <w:r>
        <w:t>。</w:t>
      </w:r>
    </w:p>
    <w:p>
      <w:pPr>
        <w:pStyle w:val="37"/>
        <w:spacing w:before="156" w:after="156"/>
      </w:pPr>
      <w:bookmarkStart w:id="54" w:name="_Toc502158984"/>
      <w:bookmarkEnd w:id="54"/>
      <w:bookmarkStart w:id="55" w:name="_Toc519070154"/>
      <w:bookmarkEnd w:id="55"/>
      <w:bookmarkStart w:id="56" w:name="_Toc519070457"/>
      <w:bookmarkEnd w:id="56"/>
      <w:bookmarkStart w:id="57" w:name="_Toc519070524"/>
      <w:bookmarkEnd w:id="57"/>
      <w:bookmarkStart w:id="58" w:name="_Toc528331226"/>
      <w:bookmarkEnd w:id="58"/>
      <w:bookmarkStart w:id="59" w:name="_Toc528335726"/>
      <w:bookmarkEnd w:id="59"/>
      <w:bookmarkStart w:id="60" w:name="_Toc530475121"/>
      <w:bookmarkEnd w:id="60"/>
      <w:bookmarkStart w:id="61" w:name="_Toc532820471"/>
      <w:bookmarkEnd w:id="61"/>
      <w:bookmarkStart w:id="62" w:name="_Toc533435856"/>
      <w:bookmarkEnd w:id="62"/>
    </w:p>
    <w:p>
      <w:pPr>
        <w:pStyle w:val="37"/>
        <w:numPr>
          <w:ilvl w:val="1"/>
          <w:numId w:val="0"/>
        </w:numPr>
        <w:spacing w:before="156" w:after="156"/>
      </w:pPr>
      <w:r>
        <w:rPr>
          <w:rFonts w:hint="eastAsia"/>
        </w:rPr>
        <w:t xml:space="preserve">    </w:t>
      </w:r>
      <w:bookmarkStart w:id="63" w:name="_Toc493668766"/>
      <w:bookmarkStart w:id="64" w:name="_Toc493668949"/>
      <w:bookmarkStart w:id="65" w:name="_Toc496687124"/>
      <w:bookmarkStart w:id="66" w:name="_Toc496687218"/>
      <w:bookmarkStart w:id="67" w:name="_Toc502158985"/>
      <w:bookmarkStart w:id="68" w:name="_Toc519070155"/>
      <w:bookmarkStart w:id="69" w:name="_Toc519070458"/>
      <w:bookmarkStart w:id="70" w:name="_Toc519070525"/>
      <w:bookmarkStart w:id="71" w:name="_Toc528331227"/>
      <w:bookmarkStart w:id="72" w:name="_Toc528335727"/>
      <w:bookmarkStart w:id="73" w:name="_Toc530475122"/>
      <w:bookmarkStart w:id="74" w:name="_Toc532820472"/>
      <w:bookmarkStart w:id="75" w:name="_Toc533435857"/>
      <w:r>
        <w:rPr>
          <w:rFonts w:hint="eastAsia"/>
        </w:rPr>
        <w:t xml:space="preserve">志愿者  </w:t>
      </w:r>
      <w:r>
        <w:t>volunteer</w:t>
      </w:r>
      <w:bookmarkEnd w:id="63"/>
      <w:bookmarkEnd w:id="64"/>
      <w:bookmarkEnd w:id="65"/>
      <w:bookmarkEnd w:id="66"/>
      <w:bookmarkEnd w:id="67"/>
      <w:bookmarkEnd w:id="68"/>
      <w:bookmarkEnd w:id="69"/>
      <w:bookmarkEnd w:id="70"/>
      <w:bookmarkEnd w:id="71"/>
      <w:bookmarkEnd w:id="72"/>
      <w:bookmarkEnd w:id="73"/>
      <w:bookmarkEnd w:id="74"/>
      <w:bookmarkEnd w:id="75"/>
    </w:p>
    <w:p>
      <w:pPr>
        <w:pStyle w:val="21"/>
      </w:pPr>
      <w:r>
        <w:rPr>
          <w:rFonts w:hint="eastAsia"/>
        </w:rPr>
        <w:t>以自己的时间和知识、技能、体力等从事志愿服务的自然人。</w:t>
      </w:r>
    </w:p>
    <w:p>
      <w:pPr>
        <w:pStyle w:val="37"/>
        <w:spacing w:before="156" w:after="156"/>
      </w:pPr>
      <w:bookmarkStart w:id="76" w:name="_Toc493668767"/>
      <w:bookmarkEnd w:id="76"/>
      <w:bookmarkStart w:id="77" w:name="_Toc493668950"/>
      <w:bookmarkEnd w:id="77"/>
      <w:bookmarkStart w:id="78" w:name="_Toc496687125"/>
      <w:bookmarkEnd w:id="78"/>
      <w:bookmarkStart w:id="79" w:name="_Toc496687219"/>
      <w:bookmarkEnd w:id="79"/>
      <w:bookmarkStart w:id="80" w:name="_Toc502158986"/>
      <w:bookmarkEnd w:id="80"/>
      <w:bookmarkStart w:id="81" w:name="_Toc519070156"/>
      <w:bookmarkEnd w:id="81"/>
      <w:bookmarkStart w:id="82" w:name="_Toc519070459"/>
      <w:bookmarkEnd w:id="82"/>
      <w:bookmarkStart w:id="83" w:name="_Toc519070526"/>
      <w:bookmarkEnd w:id="83"/>
      <w:bookmarkStart w:id="84" w:name="_Toc528331228"/>
      <w:bookmarkEnd w:id="84"/>
      <w:bookmarkStart w:id="85" w:name="_Toc528335728"/>
      <w:bookmarkEnd w:id="85"/>
      <w:bookmarkStart w:id="86" w:name="_Toc530475123"/>
      <w:bookmarkEnd w:id="86"/>
      <w:bookmarkStart w:id="87" w:name="_Toc532820473"/>
      <w:bookmarkEnd w:id="87"/>
      <w:bookmarkStart w:id="88" w:name="_Toc533435858"/>
      <w:bookmarkEnd w:id="88"/>
    </w:p>
    <w:p>
      <w:pPr>
        <w:pStyle w:val="37"/>
        <w:numPr>
          <w:ilvl w:val="1"/>
          <w:numId w:val="0"/>
        </w:numPr>
        <w:spacing w:before="156" w:after="156"/>
      </w:pPr>
      <w:r>
        <w:rPr>
          <w:rFonts w:hint="eastAsia"/>
        </w:rPr>
        <w:t xml:space="preserve">    </w:t>
      </w:r>
      <w:bookmarkStart w:id="89" w:name="_Toc493668768"/>
      <w:bookmarkStart w:id="90" w:name="_Toc493668951"/>
      <w:bookmarkStart w:id="91" w:name="_Toc496687126"/>
      <w:bookmarkStart w:id="92" w:name="_Toc496687220"/>
      <w:bookmarkStart w:id="93" w:name="_Toc502158987"/>
      <w:bookmarkStart w:id="94" w:name="_Toc519070157"/>
      <w:bookmarkStart w:id="95" w:name="_Toc519070460"/>
      <w:bookmarkStart w:id="96" w:name="_Toc519070527"/>
      <w:bookmarkStart w:id="97" w:name="_Toc528331229"/>
      <w:bookmarkStart w:id="98" w:name="_Toc528335729"/>
      <w:bookmarkStart w:id="99" w:name="_Toc530475124"/>
      <w:bookmarkStart w:id="100" w:name="_Toc532820474"/>
      <w:bookmarkStart w:id="101" w:name="_Toc533435859"/>
      <w:r>
        <w:rPr>
          <w:rFonts w:hint="eastAsia"/>
        </w:rPr>
        <w:t xml:space="preserve">志愿服务组织  </w:t>
      </w:r>
      <w:r>
        <w:t>volunteer service organization</w:t>
      </w:r>
      <w:bookmarkEnd w:id="89"/>
      <w:bookmarkEnd w:id="90"/>
      <w:bookmarkEnd w:id="91"/>
      <w:bookmarkEnd w:id="92"/>
      <w:bookmarkEnd w:id="93"/>
      <w:bookmarkEnd w:id="94"/>
      <w:bookmarkEnd w:id="95"/>
      <w:bookmarkEnd w:id="96"/>
      <w:bookmarkEnd w:id="97"/>
      <w:bookmarkEnd w:id="98"/>
      <w:bookmarkEnd w:id="99"/>
      <w:bookmarkEnd w:id="100"/>
      <w:bookmarkEnd w:id="101"/>
    </w:p>
    <w:p>
      <w:pPr>
        <w:pStyle w:val="21"/>
        <w:rPr>
          <w:color w:val="000000"/>
        </w:rPr>
      </w:pPr>
      <w:r>
        <w:rPr>
          <w:rFonts w:hint="eastAsia"/>
          <w:color w:val="000000"/>
        </w:rPr>
        <w:t>依法成立，以开展志愿服务为宗旨的非营利性组织。可以采取社会团体、社会服务机构、基金会等形式。</w:t>
      </w:r>
    </w:p>
    <w:p>
      <w:pPr>
        <w:pStyle w:val="37"/>
        <w:spacing w:before="156" w:after="156"/>
        <w:rPr>
          <w:color w:val="000000"/>
        </w:rPr>
      </w:pPr>
      <w:bookmarkStart w:id="102" w:name="_Toc493668769"/>
      <w:bookmarkEnd w:id="102"/>
      <w:bookmarkStart w:id="103" w:name="_Toc493668952"/>
      <w:bookmarkEnd w:id="103"/>
      <w:bookmarkStart w:id="104" w:name="_Toc496687127"/>
      <w:bookmarkEnd w:id="104"/>
      <w:bookmarkStart w:id="105" w:name="_Toc496687221"/>
      <w:bookmarkEnd w:id="105"/>
      <w:bookmarkStart w:id="106" w:name="_Toc502158988"/>
      <w:bookmarkEnd w:id="106"/>
      <w:bookmarkStart w:id="107" w:name="_Toc519070158"/>
      <w:bookmarkEnd w:id="107"/>
      <w:bookmarkStart w:id="108" w:name="_Toc519070461"/>
      <w:bookmarkEnd w:id="108"/>
      <w:bookmarkStart w:id="109" w:name="_Toc519070528"/>
      <w:bookmarkEnd w:id="109"/>
      <w:bookmarkStart w:id="110" w:name="_Toc528331230"/>
      <w:bookmarkEnd w:id="110"/>
      <w:bookmarkStart w:id="111" w:name="_Toc528335730"/>
      <w:bookmarkEnd w:id="111"/>
      <w:bookmarkStart w:id="112" w:name="_Toc530475125"/>
      <w:bookmarkEnd w:id="112"/>
      <w:bookmarkStart w:id="113" w:name="_Toc532820475"/>
      <w:bookmarkEnd w:id="113"/>
      <w:bookmarkStart w:id="114" w:name="_Toc533435860"/>
      <w:bookmarkEnd w:id="114"/>
    </w:p>
    <w:p>
      <w:pPr>
        <w:pStyle w:val="37"/>
        <w:numPr>
          <w:ilvl w:val="1"/>
          <w:numId w:val="0"/>
        </w:numPr>
        <w:spacing w:before="156" w:after="156"/>
        <w:ind w:firstLine="420" w:firstLineChars="200"/>
        <w:rPr>
          <w:color w:val="000000"/>
        </w:rPr>
      </w:pPr>
      <w:bookmarkStart w:id="115" w:name="_Toc493668770"/>
      <w:bookmarkStart w:id="116" w:name="_Toc493668953"/>
      <w:bookmarkStart w:id="117" w:name="_Toc496687128"/>
      <w:bookmarkStart w:id="118" w:name="_Toc496687222"/>
      <w:bookmarkStart w:id="119" w:name="_Toc502158989"/>
      <w:bookmarkStart w:id="120" w:name="_Toc519070159"/>
      <w:bookmarkStart w:id="121" w:name="_Toc519070462"/>
      <w:bookmarkStart w:id="122" w:name="_Toc519070529"/>
      <w:bookmarkStart w:id="123" w:name="_Toc528331231"/>
      <w:bookmarkStart w:id="124" w:name="_Toc528335731"/>
      <w:bookmarkStart w:id="125" w:name="_Toc530475126"/>
      <w:bookmarkStart w:id="126" w:name="_Toc532820476"/>
      <w:bookmarkStart w:id="127" w:name="_Toc533435861"/>
      <w:r>
        <w:rPr>
          <w:rFonts w:hint="eastAsia"/>
          <w:color w:val="000000"/>
        </w:rPr>
        <w:t xml:space="preserve">志愿服务项目  </w:t>
      </w:r>
      <w:r>
        <w:rPr>
          <w:color w:val="000000"/>
        </w:rPr>
        <w:t>volunteer service project</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21"/>
        <w:rPr>
          <w:color w:val="000000"/>
        </w:rPr>
      </w:pPr>
      <w:r>
        <w:rPr>
          <w:rFonts w:hint="eastAsia"/>
          <w:color w:val="000000"/>
        </w:rPr>
        <w:t>具有明确的服务目标、服务时间、服务对象、服务内容和服务保障，依规范开展的志愿服务活动。</w:t>
      </w:r>
    </w:p>
    <w:p>
      <w:pPr>
        <w:pStyle w:val="40"/>
        <w:spacing w:before="312" w:after="312"/>
      </w:pPr>
      <w:bookmarkStart w:id="128" w:name="_Toc477882976"/>
      <w:bookmarkStart w:id="129" w:name="_Toc482275541"/>
      <w:bookmarkStart w:id="130" w:name="_Toc482275722"/>
      <w:bookmarkStart w:id="131" w:name="_Toc483401218"/>
      <w:bookmarkStart w:id="132" w:name="_Toc490126685"/>
      <w:bookmarkStart w:id="133" w:name="_Toc491072337"/>
      <w:bookmarkStart w:id="134" w:name="_Toc491789800"/>
      <w:bookmarkStart w:id="135" w:name="_Toc493668771"/>
      <w:bookmarkStart w:id="136" w:name="_Toc493668909"/>
      <w:bookmarkStart w:id="137" w:name="_Toc493668954"/>
      <w:bookmarkStart w:id="138" w:name="_Toc496687129"/>
      <w:bookmarkStart w:id="139" w:name="_Toc496687223"/>
      <w:bookmarkStart w:id="140" w:name="_Toc502158948"/>
      <w:bookmarkStart w:id="141" w:name="_Toc502158990"/>
      <w:bookmarkStart w:id="142" w:name="_Toc519070160"/>
      <w:bookmarkStart w:id="143" w:name="_Toc519070463"/>
      <w:bookmarkStart w:id="144" w:name="_Toc519070530"/>
      <w:bookmarkStart w:id="145" w:name="_Toc528331232"/>
      <w:bookmarkStart w:id="146" w:name="_Toc528335732"/>
      <w:bookmarkStart w:id="147" w:name="_Toc530475127"/>
      <w:bookmarkStart w:id="148" w:name="_Toc532820455"/>
      <w:bookmarkStart w:id="149" w:name="_Toc532820477"/>
      <w:bookmarkStart w:id="150" w:name="_Toc533435862"/>
      <w:r>
        <w:rPr>
          <w:rFonts w:hint="eastAsia"/>
        </w:rPr>
        <w:t>基本要求</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37"/>
        <w:spacing w:before="156" w:after="156"/>
      </w:pPr>
      <w:bookmarkStart w:id="151" w:name="_Toc493668772"/>
      <w:bookmarkStart w:id="152" w:name="_Toc493668955"/>
      <w:bookmarkStart w:id="153" w:name="_Toc496687130"/>
      <w:bookmarkStart w:id="154" w:name="_Toc496687224"/>
      <w:bookmarkStart w:id="155" w:name="_Toc502158991"/>
      <w:bookmarkStart w:id="156" w:name="_Toc519070161"/>
      <w:bookmarkStart w:id="157" w:name="_Toc519070464"/>
      <w:bookmarkStart w:id="158" w:name="_Toc519070531"/>
      <w:bookmarkStart w:id="159" w:name="_Toc528331233"/>
      <w:bookmarkStart w:id="160" w:name="_Toc528335733"/>
      <w:bookmarkStart w:id="161" w:name="_Toc530475128"/>
      <w:bookmarkStart w:id="162" w:name="_Toc532820478"/>
      <w:bookmarkStart w:id="163" w:name="_Toc533435863"/>
      <w:r>
        <w:rPr>
          <w:rFonts w:hint="eastAsia"/>
        </w:rPr>
        <w:t>组织成立条件</w:t>
      </w:r>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8"/>
      </w:pPr>
      <w:r>
        <w:rPr>
          <w:rFonts w:hint="eastAsia"/>
        </w:rPr>
        <w:t>志愿服务组织应根据法律法规及民政部门相关规定成立。</w:t>
      </w:r>
    </w:p>
    <w:p>
      <w:pPr>
        <w:pStyle w:val="58"/>
      </w:pPr>
      <w:r>
        <w:rPr>
          <w:rFonts w:hint="eastAsia"/>
        </w:rPr>
        <w:t>应具有与其业务范围相适应的管理人员和志愿者。</w:t>
      </w:r>
    </w:p>
    <w:p>
      <w:pPr>
        <w:pStyle w:val="58"/>
      </w:pPr>
      <w:r>
        <w:rPr>
          <w:rFonts w:hint="eastAsia"/>
        </w:rPr>
        <w:t>应具有与其业务范围相适应的办公场所、办公设备。</w:t>
      </w:r>
    </w:p>
    <w:p>
      <w:pPr>
        <w:pStyle w:val="37"/>
        <w:spacing w:before="156" w:after="156"/>
      </w:pPr>
      <w:bookmarkStart w:id="164" w:name="_Toc493668773"/>
      <w:bookmarkStart w:id="165" w:name="_Toc493668956"/>
      <w:bookmarkStart w:id="166" w:name="_Toc496687131"/>
      <w:bookmarkStart w:id="167" w:name="_Toc496687225"/>
      <w:bookmarkStart w:id="168" w:name="_Toc502158992"/>
      <w:bookmarkStart w:id="169" w:name="_Toc519070162"/>
      <w:bookmarkStart w:id="170" w:name="_Toc519070465"/>
      <w:bookmarkStart w:id="171" w:name="_Toc519070532"/>
      <w:bookmarkStart w:id="172" w:name="_Toc528331234"/>
      <w:bookmarkStart w:id="173" w:name="_Toc528335734"/>
      <w:bookmarkStart w:id="174" w:name="_Toc530475129"/>
      <w:bookmarkStart w:id="175" w:name="_Toc532820479"/>
      <w:bookmarkStart w:id="176" w:name="_Toc533435864"/>
      <w:r>
        <w:rPr>
          <w:rFonts w:hint="eastAsia"/>
        </w:rPr>
        <w:t>组织成员</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41"/>
        <w:spacing w:before="156" w:after="156"/>
      </w:pPr>
      <w:r>
        <w:rPr>
          <w:rFonts w:hint="eastAsia"/>
        </w:rPr>
        <w:t>管理人员基本要求</w:t>
      </w:r>
    </w:p>
    <w:p>
      <w:pPr>
        <w:pStyle w:val="21"/>
      </w:pPr>
      <w:r>
        <w:rPr>
          <w:rFonts w:hint="eastAsia"/>
        </w:rPr>
        <w:t>管理人员应满足下列要求：</w:t>
      </w:r>
    </w:p>
    <w:p>
      <w:pPr>
        <w:pStyle w:val="54"/>
        <w:numPr>
          <w:ilvl w:val="0"/>
          <w:numId w:val="18"/>
        </w:numPr>
        <w:tabs>
          <w:tab w:val="clear" w:pos="840"/>
        </w:tabs>
      </w:pPr>
      <w:r>
        <w:rPr>
          <w:rFonts w:hint="eastAsia"/>
        </w:rPr>
        <w:t>熟悉有关志愿服务的法律、法规和政策；</w:t>
      </w:r>
    </w:p>
    <w:p>
      <w:pPr>
        <w:pStyle w:val="54"/>
        <w:numPr>
          <w:ilvl w:val="0"/>
          <w:numId w:val="18"/>
        </w:numPr>
        <w:tabs>
          <w:tab w:val="clear" w:pos="840"/>
        </w:tabs>
      </w:pPr>
      <w:r>
        <w:rPr>
          <w:rFonts w:hint="eastAsia"/>
        </w:rPr>
        <w:t>掌握组织管理、运行有关专业知识及技能；</w:t>
      </w:r>
    </w:p>
    <w:p>
      <w:pPr>
        <w:pStyle w:val="54"/>
        <w:numPr>
          <w:ilvl w:val="0"/>
          <w:numId w:val="18"/>
        </w:numPr>
        <w:tabs>
          <w:tab w:val="clear" w:pos="840"/>
        </w:tabs>
      </w:pPr>
      <w:r>
        <w:rPr>
          <w:rFonts w:hint="eastAsia"/>
        </w:rPr>
        <w:t>具备良好的沟通、协调能力；</w:t>
      </w:r>
    </w:p>
    <w:p>
      <w:pPr>
        <w:pStyle w:val="54"/>
        <w:numPr>
          <w:ilvl w:val="0"/>
          <w:numId w:val="18"/>
        </w:numPr>
        <w:tabs>
          <w:tab w:val="clear" w:pos="840"/>
        </w:tabs>
      </w:pPr>
      <w:r>
        <w:rPr>
          <w:rFonts w:hint="eastAsia"/>
        </w:rPr>
        <w:t>尊重服务对象和志愿者。</w:t>
      </w:r>
    </w:p>
    <w:p>
      <w:pPr>
        <w:pStyle w:val="41"/>
        <w:spacing w:before="156" w:after="156"/>
      </w:pPr>
      <w:r>
        <w:rPr>
          <w:rFonts w:hint="eastAsia"/>
        </w:rPr>
        <w:t>志愿者基本要求</w:t>
      </w:r>
    </w:p>
    <w:p>
      <w:pPr>
        <w:pStyle w:val="21"/>
      </w:pPr>
      <w:r>
        <w:rPr>
          <w:rFonts w:hint="eastAsia"/>
        </w:rPr>
        <w:t>具备相应民事行为能力以及与其从事的志愿服务相适应的知识、技能和身体条件等；不具有完全民事行为能力人，在其监护人陪同下或者经其监护人同意，可以参加与其年龄、技能、体力和智力状况相适应的志愿服务活动。</w:t>
      </w:r>
    </w:p>
    <w:p>
      <w:pPr>
        <w:pStyle w:val="37"/>
        <w:spacing w:before="156" w:after="156"/>
        <w:rPr>
          <w:color w:val="000000"/>
        </w:rPr>
      </w:pPr>
      <w:bookmarkStart w:id="177" w:name="_Toc532820480"/>
      <w:bookmarkStart w:id="178" w:name="_Toc533435865"/>
      <w:r>
        <w:rPr>
          <w:rFonts w:hint="eastAsia"/>
          <w:color w:val="000000"/>
        </w:rPr>
        <w:t>行为要求</w:t>
      </w:r>
      <w:bookmarkEnd w:id="177"/>
      <w:bookmarkEnd w:id="178"/>
    </w:p>
    <w:p>
      <w:pPr>
        <w:pStyle w:val="41"/>
        <w:spacing w:beforeLines="0" w:afterLines="0"/>
        <w:rPr>
          <w:rFonts w:ascii="宋体" w:hAnsi="宋体" w:eastAsia="宋体"/>
        </w:rPr>
      </w:pPr>
      <w:r>
        <w:rPr>
          <w:rFonts w:hint="eastAsia" w:ascii="宋体" w:hAnsi="宋体" w:eastAsia="宋体"/>
        </w:rPr>
        <w:t>应尊重志愿者、服务对象的人格尊严，未经志愿者、服务对象本人同意，不公开或泄露其有关信息。</w:t>
      </w:r>
    </w:p>
    <w:p>
      <w:pPr>
        <w:pStyle w:val="41"/>
        <w:spacing w:beforeLines="0" w:afterLines="0"/>
        <w:rPr>
          <w:rFonts w:ascii="宋体" w:hAnsi="宋体" w:eastAsia="宋体"/>
        </w:rPr>
      </w:pPr>
      <w:r>
        <w:rPr>
          <w:rFonts w:hint="eastAsia" w:ascii="宋体" w:hAnsi="宋体" w:eastAsia="宋体"/>
        </w:rPr>
        <w:t>志愿服务组织不得向服务对象收取或者变相收取报酬，不得以志愿服务名义开展营利性活动。</w:t>
      </w:r>
    </w:p>
    <w:p>
      <w:pPr>
        <w:pStyle w:val="37"/>
        <w:spacing w:before="156" w:after="156"/>
      </w:pPr>
      <w:bookmarkStart w:id="179" w:name="_Toc493668774"/>
      <w:bookmarkStart w:id="180" w:name="_Toc493668957"/>
      <w:bookmarkStart w:id="181" w:name="_Toc496687132"/>
      <w:bookmarkStart w:id="182" w:name="_Toc496687226"/>
      <w:bookmarkStart w:id="183" w:name="_Toc502158993"/>
      <w:bookmarkStart w:id="184" w:name="_Toc519070163"/>
      <w:bookmarkStart w:id="185" w:name="_Toc519070466"/>
      <w:bookmarkStart w:id="186" w:name="_Toc519070533"/>
      <w:bookmarkStart w:id="187" w:name="_Toc528331235"/>
      <w:bookmarkStart w:id="188" w:name="_Toc528335735"/>
      <w:bookmarkStart w:id="189" w:name="_Toc530475130"/>
      <w:bookmarkStart w:id="190" w:name="_Toc532820481"/>
      <w:bookmarkStart w:id="191" w:name="_Toc533435866"/>
      <w:r>
        <w:rPr>
          <w:rFonts w:hint="eastAsia"/>
        </w:rPr>
        <w:t>其他要求</w:t>
      </w:r>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58"/>
      </w:pPr>
      <w:r>
        <w:rPr>
          <w:rFonts w:hint="eastAsia"/>
        </w:rPr>
        <w:t>志愿服务组织应按照统一的信息数据标准，将志愿者个人基本信息、志愿服务情况、培训情况、表彰奖励情况、评价情况等信息录入国务院民政部门指定的志愿服务信息系统。</w:t>
      </w:r>
    </w:p>
    <w:p>
      <w:pPr>
        <w:pStyle w:val="58"/>
      </w:pPr>
      <w:r>
        <w:rPr>
          <w:rFonts w:hint="eastAsia"/>
        </w:rPr>
        <w:t>志愿服务组织在开展志愿服务活动时宜使用</w:t>
      </w:r>
      <w:r>
        <w:t>志愿服务标</w:t>
      </w:r>
      <w:r>
        <w:rPr>
          <w:rFonts w:hint="eastAsia"/>
        </w:rPr>
        <w:t>志。</w:t>
      </w:r>
    </w:p>
    <w:p>
      <w:pPr>
        <w:pStyle w:val="40"/>
        <w:spacing w:before="312" w:after="312"/>
      </w:pPr>
      <w:bookmarkStart w:id="192" w:name="_Toc493668775"/>
      <w:bookmarkStart w:id="193" w:name="_Toc493668910"/>
      <w:bookmarkStart w:id="194" w:name="_Toc493668958"/>
      <w:bookmarkStart w:id="195" w:name="_Toc496687133"/>
      <w:bookmarkStart w:id="196" w:name="_Toc496687227"/>
      <w:bookmarkStart w:id="197" w:name="_Toc502158949"/>
      <w:bookmarkStart w:id="198" w:name="_Toc502158994"/>
      <w:bookmarkStart w:id="199" w:name="_Toc519070164"/>
      <w:bookmarkStart w:id="200" w:name="_Toc519070467"/>
      <w:bookmarkStart w:id="201" w:name="_Toc519070534"/>
      <w:bookmarkStart w:id="202" w:name="_Toc528331236"/>
      <w:bookmarkStart w:id="203" w:name="_Toc528335736"/>
      <w:bookmarkStart w:id="204" w:name="_Toc530475131"/>
      <w:bookmarkStart w:id="205" w:name="_Toc532820456"/>
      <w:bookmarkStart w:id="206" w:name="_Toc532820482"/>
      <w:bookmarkStart w:id="207" w:name="_Toc533435867"/>
      <w:r>
        <w:rPr>
          <w:rFonts w:hint="eastAsia"/>
        </w:rPr>
        <w:t>服务</w:t>
      </w:r>
      <w:bookmarkEnd w:id="192"/>
      <w:bookmarkEnd w:id="193"/>
      <w:bookmarkEnd w:id="194"/>
      <w:bookmarkEnd w:id="195"/>
      <w:bookmarkEnd w:id="196"/>
      <w:bookmarkEnd w:id="197"/>
      <w:bookmarkEnd w:id="198"/>
      <w:bookmarkEnd w:id="199"/>
      <w:bookmarkEnd w:id="200"/>
      <w:bookmarkEnd w:id="201"/>
      <w:bookmarkEnd w:id="202"/>
      <w:bookmarkEnd w:id="203"/>
      <w:bookmarkEnd w:id="204"/>
      <w:r>
        <w:rPr>
          <w:rFonts w:hint="eastAsia"/>
        </w:rPr>
        <w:t>管理</w:t>
      </w:r>
      <w:bookmarkEnd w:id="205"/>
      <w:bookmarkEnd w:id="206"/>
      <w:bookmarkEnd w:id="207"/>
    </w:p>
    <w:p>
      <w:pPr>
        <w:pStyle w:val="37"/>
        <w:spacing w:before="156" w:after="156"/>
      </w:pPr>
      <w:bookmarkStart w:id="208" w:name="_Toc490126686"/>
      <w:bookmarkStart w:id="209" w:name="_Toc491072338"/>
      <w:bookmarkStart w:id="210" w:name="_Toc491789801"/>
      <w:bookmarkStart w:id="211" w:name="_Toc493668776"/>
      <w:bookmarkStart w:id="212" w:name="_Toc493668959"/>
      <w:bookmarkStart w:id="213" w:name="_Toc496687134"/>
      <w:bookmarkStart w:id="214" w:name="_Toc496687228"/>
      <w:bookmarkStart w:id="215" w:name="_Toc502158995"/>
      <w:bookmarkStart w:id="216" w:name="_Toc519070165"/>
      <w:bookmarkStart w:id="217" w:name="_Toc519070468"/>
      <w:bookmarkStart w:id="218" w:name="_Toc519070535"/>
      <w:bookmarkStart w:id="219" w:name="_Toc528331237"/>
      <w:bookmarkStart w:id="220" w:name="_Toc528335737"/>
      <w:bookmarkStart w:id="221" w:name="_Toc530475132"/>
      <w:bookmarkStart w:id="222" w:name="_Toc532820483"/>
      <w:bookmarkStart w:id="223" w:name="_Toc533435868"/>
      <w:r>
        <w:rPr>
          <w:rFonts w:hint="eastAsia"/>
        </w:rPr>
        <w:t>服务</w:t>
      </w:r>
      <w:bookmarkEnd w:id="208"/>
      <w:bookmarkEnd w:id="209"/>
      <w:bookmarkEnd w:id="210"/>
      <w:bookmarkEnd w:id="211"/>
      <w:bookmarkEnd w:id="212"/>
      <w:r>
        <w:rPr>
          <w:rFonts w:hint="eastAsia"/>
        </w:rPr>
        <w:t>类别</w:t>
      </w:r>
      <w:bookmarkEnd w:id="213"/>
      <w:bookmarkEnd w:id="214"/>
      <w:bookmarkEnd w:id="215"/>
      <w:bookmarkEnd w:id="216"/>
      <w:bookmarkEnd w:id="217"/>
      <w:bookmarkEnd w:id="218"/>
      <w:bookmarkEnd w:id="219"/>
      <w:bookmarkEnd w:id="220"/>
      <w:bookmarkEnd w:id="221"/>
      <w:bookmarkEnd w:id="222"/>
      <w:bookmarkEnd w:id="223"/>
    </w:p>
    <w:p>
      <w:pPr>
        <w:pStyle w:val="21"/>
      </w:pPr>
      <w:r>
        <w:rPr>
          <w:rFonts w:hint="eastAsia"/>
        </w:rPr>
        <w:t>志愿服务组织提供包括但不限于以下类别的服务：</w:t>
      </w:r>
    </w:p>
    <w:p>
      <w:pPr>
        <w:pStyle w:val="54"/>
        <w:numPr>
          <w:ilvl w:val="0"/>
          <w:numId w:val="19"/>
        </w:numPr>
      </w:pPr>
      <w:r>
        <w:rPr>
          <w:rFonts w:hint="eastAsia"/>
        </w:rPr>
        <w:t>大型活动服务：全国、省、市、县（区）的行政区域内大型社会公益活动的现场引导、信息咨询、语言翻译、礼仪接待、团队联络、应急救助、技术指导、秩序维持等服务；</w:t>
      </w:r>
    </w:p>
    <w:p>
      <w:pPr>
        <w:pStyle w:val="54"/>
        <w:numPr>
          <w:ilvl w:val="0"/>
          <w:numId w:val="19"/>
        </w:numPr>
      </w:pPr>
      <w:r>
        <w:rPr>
          <w:rFonts w:hint="eastAsia"/>
        </w:rPr>
        <w:t>应急救援服务：自然灾害、重大事故、公共卫生和社会安全事件发生后，在当地人民政府设立的应急指挥机构的统一指挥协调下，开展的防灾救灾、心理干预、医疗卫生、排危重建等服务；</w:t>
      </w:r>
    </w:p>
    <w:p>
      <w:pPr>
        <w:pStyle w:val="54"/>
        <w:numPr>
          <w:ilvl w:val="0"/>
          <w:numId w:val="19"/>
        </w:numPr>
      </w:pPr>
      <w:r>
        <w:rPr>
          <w:rFonts w:hint="eastAsia"/>
        </w:rPr>
        <w:t>社会公共服务：协助党政部门或者其他各类社会机构实现各种公共服务职能而提供的如维持秩序、教育群众、疏通情绪等服务；</w:t>
      </w:r>
    </w:p>
    <w:p>
      <w:pPr>
        <w:pStyle w:val="54"/>
        <w:numPr>
          <w:ilvl w:val="0"/>
          <w:numId w:val="19"/>
        </w:numPr>
      </w:pPr>
      <w:r>
        <w:rPr>
          <w:rFonts w:hint="eastAsia"/>
        </w:rPr>
        <w:t>生活帮扶服务：为孤寡老人、病残人员、农村留守人员、外来流动人员等弱势群体提供必备生活物资、精神慰藉、文化娱乐服务；</w:t>
      </w:r>
    </w:p>
    <w:p>
      <w:pPr>
        <w:pStyle w:val="54"/>
        <w:numPr>
          <w:ilvl w:val="0"/>
          <w:numId w:val="19"/>
        </w:numPr>
      </w:pPr>
      <w:r>
        <w:rPr>
          <w:rFonts w:hint="eastAsia"/>
        </w:rPr>
        <w:t>支教助学服务：为贫困地区提供的支教、捐书、赠学、送戏下乡等服务；</w:t>
      </w:r>
    </w:p>
    <w:p>
      <w:pPr>
        <w:pStyle w:val="54"/>
        <w:numPr>
          <w:ilvl w:val="0"/>
          <w:numId w:val="19"/>
        </w:numPr>
      </w:pPr>
      <w:r>
        <w:rPr>
          <w:rFonts w:hint="eastAsia"/>
        </w:rPr>
        <w:t>卫生保健服务：为城乡社区居民提供的义诊、健康保健等服务，为贫困地区开展的送医、送药、常见疾病防治知识宣传等服务；</w:t>
      </w:r>
    </w:p>
    <w:p>
      <w:pPr>
        <w:pStyle w:val="54"/>
        <w:numPr>
          <w:ilvl w:val="0"/>
          <w:numId w:val="19"/>
        </w:numPr>
      </w:pPr>
      <w:r>
        <w:rPr>
          <w:rFonts w:hint="eastAsia"/>
        </w:rPr>
        <w:t>法律服务：为公民、法人或其他组织提供的相关政策法规宣传、讲解等；</w:t>
      </w:r>
    </w:p>
    <w:p>
      <w:pPr>
        <w:pStyle w:val="54"/>
        <w:numPr>
          <w:ilvl w:val="0"/>
          <w:numId w:val="19"/>
        </w:numPr>
      </w:pPr>
      <w:r>
        <w:rPr>
          <w:rFonts w:hint="eastAsia"/>
        </w:rPr>
        <w:t>环境保护服务：开展各类节能减排、护水护绿、防治污染等活动及环保知识宣传；</w:t>
      </w:r>
    </w:p>
    <w:p>
      <w:pPr>
        <w:pStyle w:val="54"/>
        <w:numPr>
          <w:ilvl w:val="0"/>
          <w:numId w:val="19"/>
        </w:numPr>
      </w:pPr>
      <w:r>
        <w:rPr>
          <w:rFonts w:hint="eastAsia"/>
        </w:rPr>
        <w:t>科技推广服务：开展各类科普知识宣传、技术推广和运用等服务；</w:t>
      </w:r>
    </w:p>
    <w:p>
      <w:pPr>
        <w:pStyle w:val="54"/>
        <w:numPr>
          <w:ilvl w:val="0"/>
          <w:numId w:val="19"/>
        </w:numPr>
      </w:pPr>
      <w:r>
        <w:rPr>
          <w:rFonts w:hint="eastAsia"/>
        </w:rPr>
        <w:t>治安防范服务：开展治安宣传、治安巡逻、公共财物看护、禁赌禁毒、社区矫正和防范违法犯罪等服务；</w:t>
      </w:r>
    </w:p>
    <w:p>
      <w:pPr>
        <w:pStyle w:val="54"/>
        <w:numPr>
          <w:ilvl w:val="0"/>
          <w:numId w:val="19"/>
        </w:numPr>
      </w:pPr>
      <w:r>
        <w:rPr>
          <w:rFonts w:hint="eastAsia"/>
        </w:rPr>
        <w:t>公共文明引导服务：针对公共场所各类不文明行为，开展劝导、引导、纠正等服务；</w:t>
      </w:r>
    </w:p>
    <w:p>
      <w:pPr>
        <w:pStyle w:val="54"/>
        <w:numPr>
          <w:ilvl w:val="0"/>
          <w:numId w:val="19"/>
        </w:numPr>
      </w:pPr>
      <w:r>
        <w:rPr>
          <w:rFonts w:hint="eastAsia"/>
        </w:rPr>
        <w:t>群众文化服务：开展群众文化活动组织、文化培训和文艺演出等服务；</w:t>
      </w:r>
    </w:p>
    <w:p>
      <w:pPr>
        <w:pStyle w:val="54"/>
        <w:numPr>
          <w:ilvl w:val="0"/>
          <w:numId w:val="19"/>
        </w:numPr>
      </w:pPr>
      <w:r>
        <w:rPr>
          <w:rFonts w:hint="eastAsia"/>
        </w:rPr>
        <w:t>根据社会实际需求或志愿者个人申请，开展的其他志愿服务。</w:t>
      </w:r>
    </w:p>
    <w:p>
      <w:pPr>
        <w:pStyle w:val="37"/>
        <w:spacing w:before="156" w:after="156"/>
      </w:pPr>
      <w:bookmarkStart w:id="224" w:name="_Toc493668777"/>
      <w:bookmarkStart w:id="225" w:name="_Toc493668960"/>
      <w:bookmarkStart w:id="226" w:name="_Toc496687135"/>
      <w:bookmarkStart w:id="227" w:name="_Toc496687229"/>
      <w:bookmarkStart w:id="228" w:name="_Toc502158996"/>
      <w:bookmarkStart w:id="229" w:name="_Toc519070166"/>
      <w:bookmarkStart w:id="230" w:name="_Toc519070469"/>
      <w:bookmarkStart w:id="231" w:name="_Toc519070536"/>
      <w:bookmarkStart w:id="232" w:name="_Toc528331238"/>
      <w:bookmarkStart w:id="233" w:name="_Toc528335738"/>
      <w:bookmarkStart w:id="234" w:name="_Toc530475133"/>
      <w:bookmarkStart w:id="235" w:name="_Toc532820484"/>
      <w:bookmarkStart w:id="236" w:name="_Toc533435869"/>
      <w:r>
        <w:rPr>
          <w:rFonts w:hint="eastAsia"/>
        </w:rPr>
        <w:t>服务</w:t>
      </w:r>
      <w:bookmarkEnd w:id="224"/>
      <w:bookmarkEnd w:id="225"/>
      <w:bookmarkEnd w:id="226"/>
      <w:bookmarkEnd w:id="227"/>
      <w:bookmarkEnd w:id="228"/>
      <w:bookmarkEnd w:id="229"/>
      <w:bookmarkEnd w:id="230"/>
      <w:bookmarkEnd w:id="231"/>
      <w:bookmarkEnd w:id="232"/>
      <w:bookmarkEnd w:id="233"/>
      <w:bookmarkEnd w:id="234"/>
      <w:r>
        <w:rPr>
          <w:rFonts w:hint="eastAsia"/>
        </w:rPr>
        <w:t>流程</w:t>
      </w:r>
      <w:bookmarkEnd w:id="235"/>
      <w:bookmarkEnd w:id="236"/>
    </w:p>
    <w:p>
      <w:pPr>
        <w:pStyle w:val="41"/>
        <w:spacing w:before="156" w:after="156"/>
      </w:pPr>
      <w:bookmarkStart w:id="237" w:name="_Toc491789803"/>
      <w:r>
        <w:rPr>
          <w:rFonts w:hint="eastAsia"/>
        </w:rPr>
        <w:t>了解需求</w:t>
      </w:r>
    </w:p>
    <w:p>
      <w:pPr>
        <w:pStyle w:val="21"/>
      </w:pPr>
      <w:r>
        <w:rPr>
          <w:rFonts w:hint="eastAsia"/>
        </w:rPr>
        <w:t>调查了解社会需要的志愿服务内容。</w:t>
      </w:r>
    </w:p>
    <w:p>
      <w:pPr>
        <w:pStyle w:val="41"/>
        <w:spacing w:before="156" w:after="156"/>
      </w:pPr>
      <w:r>
        <w:rPr>
          <w:rFonts w:hint="eastAsia"/>
        </w:rPr>
        <w:t>策划项目</w:t>
      </w:r>
    </w:p>
    <w:p>
      <w:pPr>
        <w:pStyle w:val="21"/>
      </w:pPr>
      <w:r>
        <w:rPr>
          <w:rFonts w:hint="eastAsia"/>
        </w:rPr>
        <w:t>分析社会需求，结合本组织实际并综合分析所能链接社会资源等，确定志愿服务项目。</w:t>
      </w:r>
    </w:p>
    <w:p>
      <w:pPr>
        <w:pStyle w:val="41"/>
        <w:spacing w:before="156" w:after="156"/>
      </w:pPr>
      <w:r>
        <w:rPr>
          <w:rFonts w:hint="eastAsia"/>
        </w:rPr>
        <w:t>制定计划</w:t>
      </w:r>
    </w:p>
    <w:p>
      <w:pPr>
        <w:pStyle w:val="54"/>
        <w:numPr>
          <w:ilvl w:val="0"/>
          <w:numId w:val="20"/>
        </w:numPr>
      </w:pPr>
      <w:r>
        <w:rPr>
          <w:rFonts w:hint="eastAsia"/>
        </w:rPr>
        <w:t>制定志愿服务项目方案或计划，明确活动目标、内容、时间、地点、人数等事宜。</w:t>
      </w:r>
    </w:p>
    <w:p>
      <w:pPr>
        <w:pStyle w:val="54"/>
        <w:numPr>
          <w:ilvl w:val="0"/>
          <w:numId w:val="20"/>
        </w:numPr>
      </w:pPr>
      <w:r>
        <w:rPr>
          <w:rFonts w:hint="eastAsia"/>
        </w:rPr>
        <w:t>与其他群众自治组织、公益活动举办单位合作开展活动等。</w:t>
      </w:r>
    </w:p>
    <w:p>
      <w:pPr>
        <w:pStyle w:val="41"/>
        <w:spacing w:before="156" w:after="156"/>
      </w:pPr>
      <w:r>
        <w:rPr>
          <w:rFonts w:hint="eastAsia"/>
        </w:rPr>
        <w:t>招募、培训志愿者</w:t>
      </w:r>
    </w:p>
    <w:p>
      <w:pPr>
        <w:pStyle w:val="21"/>
      </w:pPr>
      <w:r>
        <w:rPr>
          <w:rFonts w:hint="eastAsia"/>
        </w:rPr>
        <w:t>在全国志愿服务信息系统或其他渠道公布招募信息，根据报名情况和项目需要确定志愿者名单，并通过集中辅导、座谈交流、案例分析等方式对志愿者进行相关知识、技能等培训。</w:t>
      </w:r>
    </w:p>
    <w:p>
      <w:pPr>
        <w:pStyle w:val="41"/>
        <w:spacing w:before="156" w:after="156"/>
      </w:pPr>
      <w:r>
        <w:rPr>
          <w:rFonts w:hint="eastAsia"/>
        </w:rPr>
        <w:t>开展服务</w:t>
      </w:r>
    </w:p>
    <w:p>
      <w:pPr>
        <w:pStyle w:val="21"/>
      </w:pPr>
      <w:r>
        <w:rPr>
          <w:rFonts w:hint="eastAsia"/>
        </w:rPr>
        <w:t>根据项目计划和服务对象需求，组织志愿者有序、安全的开展服务。</w:t>
      </w:r>
    </w:p>
    <w:p>
      <w:pPr>
        <w:pStyle w:val="41"/>
        <w:spacing w:before="156" w:after="156"/>
      </w:pPr>
      <w:r>
        <w:rPr>
          <w:rFonts w:hint="eastAsia"/>
        </w:rPr>
        <w:t>总结服务</w:t>
      </w:r>
    </w:p>
    <w:p>
      <w:pPr>
        <w:pStyle w:val="21"/>
      </w:pPr>
      <w:r>
        <w:rPr>
          <w:rFonts w:hint="eastAsia"/>
        </w:rPr>
        <w:t>志愿服务结束后，针对提供的服务进行总结，并整理归档活动材料。</w:t>
      </w:r>
    </w:p>
    <w:p>
      <w:pPr>
        <w:pStyle w:val="40"/>
        <w:spacing w:before="312" w:after="312"/>
      </w:pPr>
      <w:bookmarkStart w:id="238" w:name="_Toc493668778"/>
      <w:bookmarkStart w:id="239" w:name="_Toc493668911"/>
      <w:bookmarkStart w:id="240" w:name="_Toc493668961"/>
      <w:bookmarkStart w:id="241" w:name="_Toc496687136"/>
      <w:bookmarkStart w:id="242" w:name="_Toc496687230"/>
      <w:bookmarkStart w:id="243" w:name="_Toc502158950"/>
      <w:bookmarkStart w:id="244" w:name="_Toc502158997"/>
      <w:bookmarkStart w:id="245" w:name="_Toc519070167"/>
      <w:bookmarkStart w:id="246" w:name="_Toc519070470"/>
      <w:bookmarkStart w:id="247" w:name="_Toc519070537"/>
      <w:bookmarkStart w:id="248" w:name="_Toc528331239"/>
      <w:bookmarkStart w:id="249" w:name="_Toc528335739"/>
      <w:bookmarkStart w:id="250" w:name="_Toc530475134"/>
      <w:bookmarkStart w:id="251" w:name="_Toc532820457"/>
      <w:bookmarkStart w:id="252" w:name="_Toc532820485"/>
      <w:bookmarkStart w:id="253" w:name="_Toc533435870"/>
      <w:r>
        <w:rPr>
          <w:rFonts w:hint="eastAsia"/>
        </w:rPr>
        <w:t>组织管理</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37"/>
        <w:spacing w:before="156" w:after="156"/>
      </w:pPr>
      <w:bookmarkStart w:id="254" w:name="_Toc493668779"/>
      <w:bookmarkStart w:id="255" w:name="_Toc493668962"/>
      <w:bookmarkStart w:id="256" w:name="_Toc496687137"/>
      <w:bookmarkStart w:id="257" w:name="_Toc496687231"/>
      <w:bookmarkStart w:id="258" w:name="_Toc502158998"/>
      <w:bookmarkStart w:id="259" w:name="_Toc519070168"/>
      <w:bookmarkStart w:id="260" w:name="_Toc519070471"/>
      <w:bookmarkStart w:id="261" w:name="_Toc519070538"/>
      <w:bookmarkStart w:id="262" w:name="_Toc528331240"/>
      <w:bookmarkStart w:id="263" w:name="_Toc528335740"/>
      <w:bookmarkStart w:id="264" w:name="_Toc530475135"/>
      <w:bookmarkStart w:id="265" w:name="_Toc532820486"/>
      <w:bookmarkStart w:id="266" w:name="_Toc533435871"/>
      <w:r>
        <w:rPr>
          <w:rFonts w:hint="eastAsia"/>
        </w:rPr>
        <w:t>内部管理</w:t>
      </w:r>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58"/>
      </w:pPr>
      <w:r>
        <w:rPr>
          <w:rFonts w:hint="eastAsia"/>
        </w:rPr>
        <w:t>设立组织内部的行政管理及业务部门，明确各岗位的职责与权限。</w:t>
      </w:r>
    </w:p>
    <w:p>
      <w:pPr>
        <w:pStyle w:val="58"/>
      </w:pPr>
      <w:r>
        <w:rPr>
          <w:rFonts w:hint="eastAsia"/>
        </w:rPr>
        <w:t>建立组织内部日常管理、人事管理和财务管理制度。</w:t>
      </w:r>
    </w:p>
    <w:p>
      <w:pPr>
        <w:pStyle w:val="58"/>
      </w:pPr>
      <w:r>
        <w:rPr>
          <w:rFonts w:hint="eastAsia"/>
        </w:rPr>
        <w:t>建立良好的沟通渠道、明确沟通的方式和时机。</w:t>
      </w:r>
    </w:p>
    <w:p>
      <w:pPr>
        <w:pStyle w:val="58"/>
      </w:pPr>
      <w:r>
        <w:rPr>
          <w:rFonts w:hint="eastAsia"/>
        </w:rPr>
        <w:t>建立科学、合理的服务质量管理体系，对服务项目、服务投诉、评价与改进进行管理。</w:t>
      </w:r>
    </w:p>
    <w:p>
      <w:pPr>
        <w:pStyle w:val="58"/>
      </w:pPr>
      <w:r>
        <w:rPr>
          <w:rFonts w:hint="eastAsia"/>
        </w:rPr>
        <w:t>在开展志愿服务活动时，志愿服务组织和志愿者应当规范使用志愿服务标志。</w:t>
      </w:r>
    </w:p>
    <w:p>
      <w:pPr>
        <w:pStyle w:val="58"/>
      </w:pPr>
      <w:r>
        <w:rPr>
          <w:rFonts w:hint="eastAsia"/>
        </w:rPr>
        <w:t>属于归档范围的志愿服务组织党建工作相关文件材料应当在规定日期内归档。</w:t>
      </w:r>
    </w:p>
    <w:p>
      <w:pPr>
        <w:pStyle w:val="58"/>
      </w:pPr>
      <w:r>
        <w:rPr>
          <w:rFonts w:hint="eastAsia"/>
        </w:rPr>
        <w:t>应定期开展形式多样的志愿服务党建活动。</w:t>
      </w:r>
    </w:p>
    <w:p>
      <w:pPr>
        <w:pStyle w:val="37"/>
        <w:spacing w:before="156" w:after="156"/>
      </w:pPr>
      <w:bookmarkStart w:id="267" w:name="_Toc493668780"/>
      <w:bookmarkStart w:id="268" w:name="_Toc493668963"/>
      <w:bookmarkStart w:id="269" w:name="_Toc496687138"/>
      <w:bookmarkStart w:id="270" w:name="_Toc496687232"/>
      <w:bookmarkStart w:id="271" w:name="_Toc502158999"/>
      <w:bookmarkStart w:id="272" w:name="_Toc519070169"/>
      <w:bookmarkStart w:id="273" w:name="_Toc519070472"/>
      <w:bookmarkStart w:id="274" w:name="_Toc519070539"/>
      <w:bookmarkStart w:id="275" w:name="_Toc528331241"/>
      <w:bookmarkStart w:id="276" w:name="_Toc528335741"/>
      <w:bookmarkStart w:id="277" w:name="_Toc530475136"/>
      <w:bookmarkStart w:id="278" w:name="_Toc532820487"/>
      <w:bookmarkStart w:id="279" w:name="_Toc533435872"/>
      <w:r>
        <w:rPr>
          <w:rFonts w:hint="eastAsia"/>
        </w:rPr>
        <w:t>志愿者管理</w:t>
      </w:r>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41"/>
        <w:spacing w:before="156" w:after="156"/>
      </w:pPr>
      <w:r>
        <w:rPr>
          <w:rFonts w:hint="eastAsia"/>
        </w:rPr>
        <w:t>招募</w:t>
      </w:r>
    </w:p>
    <w:p>
      <w:pPr>
        <w:pStyle w:val="21"/>
      </w:pPr>
      <w:r>
        <w:rPr>
          <w:rFonts w:hint="eastAsia"/>
        </w:rPr>
        <w:t>根据志愿服务需要，组织开展经常性和应急性招募。通过现场、网络等方式，及时公布志愿者招募热线及志愿服务项目、服务流程、志愿者的条件和数量等信息，</w:t>
      </w:r>
      <w:r>
        <w:rPr>
          <w:rFonts w:hint="eastAsia" w:cs="Arial"/>
        </w:rPr>
        <w:t>告知志愿服务过程中可能发生的风险。</w:t>
      </w:r>
    </w:p>
    <w:p>
      <w:pPr>
        <w:pStyle w:val="41"/>
        <w:spacing w:before="156" w:after="156"/>
        <w:rPr>
          <w:color w:val="000000"/>
        </w:rPr>
      </w:pPr>
      <w:r>
        <w:rPr>
          <w:rFonts w:hint="eastAsia"/>
          <w:color w:val="000000"/>
        </w:rPr>
        <w:t>注册</w:t>
      </w:r>
    </w:p>
    <w:p>
      <w:pPr>
        <w:pStyle w:val="106"/>
        <w:rPr>
          <w:color w:val="000000"/>
        </w:rPr>
      </w:pPr>
      <w:r>
        <w:rPr>
          <w:rFonts w:hint="eastAsia"/>
          <w:color w:val="000000"/>
        </w:rPr>
        <w:t>志愿者可自行在全国志愿服务信息系统进行注册，也可通过志愿服务组织注册。</w:t>
      </w:r>
    </w:p>
    <w:p>
      <w:pPr>
        <w:pStyle w:val="106"/>
      </w:pPr>
      <w:r>
        <w:rPr>
          <w:rFonts w:hint="eastAsia"/>
        </w:rPr>
        <w:t>志愿服务组织应如实记录志愿者个人基本信息、志愿服务情况、培训情况、表彰奖励情况、评价情况等信息。并按照统一的信息数据标准录入国务院民政部门指定的志愿服务信息系统，实现数据互联互通。</w:t>
      </w:r>
    </w:p>
    <w:p>
      <w:pPr>
        <w:pStyle w:val="41"/>
        <w:spacing w:before="156" w:after="156"/>
      </w:pPr>
      <w:r>
        <w:rPr>
          <w:rFonts w:hint="eastAsia"/>
        </w:rPr>
        <w:t>培训</w:t>
      </w:r>
    </w:p>
    <w:p>
      <w:pPr>
        <w:pStyle w:val="21"/>
      </w:pPr>
      <w:r>
        <w:rPr>
          <w:rFonts w:hint="eastAsia"/>
        </w:rPr>
        <w:t>根据志愿服务项目要求和志愿者报名情况，对志愿者及时进行志愿服务基本理念、伦理、专业服务知识和服务技能培训。</w:t>
      </w:r>
    </w:p>
    <w:p>
      <w:pPr>
        <w:pStyle w:val="41"/>
        <w:spacing w:before="156" w:after="156"/>
      </w:pPr>
      <w:r>
        <w:rPr>
          <w:rFonts w:hint="eastAsia"/>
        </w:rPr>
        <w:t>保障</w:t>
      </w:r>
    </w:p>
    <w:p>
      <w:pPr>
        <w:pStyle w:val="21"/>
        <w:rPr>
          <w:shd w:val="clear" w:color="auto" w:fill="FFFFFF"/>
        </w:rPr>
      </w:pPr>
      <w:r>
        <w:rPr>
          <w:rFonts w:hint="eastAsia"/>
        </w:rPr>
        <w:t>志愿服务组织安排志愿者参与志愿服务活动，应当与志愿者的年龄、知识、技能和身体状况相适应；志愿服务组织安排志愿者参与可能发生人身危险的志愿服务活动前，应当就志愿服务的主要内容协商一致并为志愿者购买相应的人身意外伤害保险。</w:t>
      </w:r>
      <w:r>
        <w:rPr>
          <w:rFonts w:hint="eastAsia"/>
          <w:shd w:val="clear" w:color="auto" w:fill="FFFFFF"/>
        </w:rPr>
        <w:t>有下列情形之一的，宜签订志愿服务书面协议：</w:t>
      </w:r>
    </w:p>
    <w:p>
      <w:pPr>
        <w:pStyle w:val="54"/>
        <w:numPr>
          <w:ilvl w:val="0"/>
          <w:numId w:val="21"/>
        </w:numPr>
      </w:pPr>
      <w:r>
        <w:rPr>
          <w:rFonts w:hint="eastAsia"/>
        </w:rPr>
        <w:t>对志愿者人身安全、身心健康等有较高风险的；</w:t>
      </w:r>
    </w:p>
    <w:p>
      <w:pPr>
        <w:pStyle w:val="54"/>
        <w:numPr>
          <w:ilvl w:val="0"/>
          <w:numId w:val="21"/>
        </w:numPr>
      </w:pPr>
      <w:r>
        <w:rPr>
          <w:rFonts w:hint="eastAsia"/>
        </w:rPr>
        <w:t>需志愿者连续提供一个月以上专职服务的；</w:t>
      </w:r>
    </w:p>
    <w:p>
      <w:pPr>
        <w:pStyle w:val="54"/>
        <w:numPr>
          <w:ilvl w:val="0"/>
          <w:numId w:val="21"/>
        </w:numPr>
      </w:pPr>
      <w:r>
        <w:rPr>
          <w:rFonts w:hint="eastAsia"/>
        </w:rPr>
        <w:t>为大型社会活动提供志愿服务的；</w:t>
      </w:r>
    </w:p>
    <w:p>
      <w:pPr>
        <w:pStyle w:val="54"/>
        <w:numPr>
          <w:ilvl w:val="0"/>
          <w:numId w:val="21"/>
        </w:numPr>
      </w:pPr>
      <w:r>
        <w:rPr>
          <w:rFonts w:hint="eastAsia"/>
        </w:rPr>
        <w:t>组织志愿者在本市行政区域以外开展志愿服务活动的；</w:t>
      </w:r>
    </w:p>
    <w:p>
      <w:pPr>
        <w:pStyle w:val="54"/>
        <w:numPr>
          <w:ilvl w:val="0"/>
          <w:numId w:val="21"/>
        </w:numPr>
      </w:pPr>
      <w:r>
        <w:rPr>
          <w:rFonts w:hint="eastAsia"/>
        </w:rPr>
        <w:t>志愿服务活动涉及境外人员的；</w:t>
      </w:r>
    </w:p>
    <w:p>
      <w:pPr>
        <w:pStyle w:val="54"/>
        <w:numPr>
          <w:ilvl w:val="0"/>
          <w:numId w:val="21"/>
        </w:numPr>
      </w:pPr>
      <w:r>
        <w:rPr>
          <w:rFonts w:hint="eastAsia"/>
        </w:rPr>
        <w:t>志愿者、志愿服务组织和志愿服务对象任何一方要求签订书面协议的。</w:t>
      </w:r>
    </w:p>
    <w:p>
      <w:pPr>
        <w:pStyle w:val="41"/>
        <w:spacing w:before="156" w:after="156"/>
      </w:pPr>
      <w:r>
        <w:rPr>
          <w:rFonts w:hint="eastAsia"/>
        </w:rPr>
        <w:t>服务记录</w:t>
      </w:r>
    </w:p>
    <w:p>
      <w:pPr>
        <w:pStyle w:val="46"/>
        <w:spacing w:beforeLines="0" w:afterLines="0"/>
        <w:rPr>
          <w:rFonts w:ascii="宋体" w:hAnsi="宋体" w:eastAsia="宋体"/>
        </w:rPr>
      </w:pPr>
      <w:r>
        <w:rPr>
          <w:rFonts w:hint="eastAsia" w:ascii="宋体" w:hAnsi="宋体" w:eastAsia="宋体"/>
        </w:rPr>
        <w:t>志愿服务组织根据志愿者参与志愿服务活动情况，通过全国志愿服务信息系统或其他方式如实记录志愿者的服务时间、服务评价等信息。</w:t>
      </w:r>
    </w:p>
    <w:p>
      <w:pPr>
        <w:pStyle w:val="46"/>
        <w:spacing w:beforeLines="0" w:afterLines="0"/>
        <w:rPr>
          <w:rFonts w:ascii="宋体" w:hAnsi="宋体" w:eastAsia="宋体"/>
        </w:rPr>
      </w:pPr>
      <w:r>
        <w:rPr>
          <w:rFonts w:hint="eastAsia" w:ascii="宋体" w:hAnsi="宋体" w:eastAsia="宋体"/>
        </w:rPr>
        <w:t>志愿者可以在全国志愿服务信息系统自行打印志愿服务记录证明，可以由志愿服务组织出具。需要志愿服务组织出具的，志愿服务组织应依据志愿服务记录向有需要的志愿者无偿、如实出具。</w:t>
      </w:r>
    </w:p>
    <w:p>
      <w:pPr>
        <w:pStyle w:val="41"/>
        <w:spacing w:before="156" w:after="156"/>
      </w:pPr>
      <w:r>
        <w:rPr>
          <w:rFonts w:hint="eastAsia"/>
        </w:rPr>
        <w:t>表彰与激励</w:t>
      </w:r>
    </w:p>
    <w:p>
      <w:pPr>
        <w:pStyle w:val="46"/>
        <w:spacing w:beforeLines="0" w:afterLines="0"/>
        <w:rPr>
          <w:rFonts w:ascii="宋体" w:hAnsi="宋体" w:eastAsia="宋体"/>
        </w:rPr>
      </w:pPr>
      <w:r>
        <w:rPr>
          <w:rFonts w:hint="eastAsia" w:ascii="宋体" w:hAnsi="宋体" w:eastAsia="宋体"/>
        </w:rPr>
        <w:t>建立志愿者服务时间累计和绩效评价制度，对长期开展志愿服务且服务效果较好的志愿者，给予相关荣誉表彰或物质奖励，鼓励推行志愿者信用评价体系。</w:t>
      </w:r>
    </w:p>
    <w:p>
      <w:pPr>
        <w:pStyle w:val="46"/>
        <w:spacing w:beforeLines="0" w:afterLines="0"/>
        <w:rPr>
          <w:rFonts w:ascii="宋体" w:hAnsi="宋体" w:eastAsia="宋体" w:cs="Arial"/>
        </w:rPr>
      </w:pPr>
      <w:r>
        <w:rPr>
          <w:rFonts w:hint="eastAsia" w:ascii="宋体" w:hAnsi="宋体" w:eastAsia="宋体"/>
        </w:rPr>
        <w:t>可根据志愿服务时间等对志愿者进行星级评定，其中一星级、二星级、三星级、四星级、五星级志愿者的志愿服务时间分别不应少于100、300、600、1000和1500h。</w:t>
      </w:r>
    </w:p>
    <w:p>
      <w:pPr>
        <w:pStyle w:val="37"/>
        <w:spacing w:before="156" w:after="156"/>
      </w:pPr>
      <w:bookmarkStart w:id="280" w:name="_Toc532820488"/>
      <w:bookmarkStart w:id="281" w:name="_Toc533435873"/>
      <w:r>
        <w:rPr>
          <w:rFonts w:hint="eastAsia"/>
        </w:rPr>
        <w:t>项目管理</w:t>
      </w:r>
      <w:bookmarkEnd w:id="280"/>
      <w:bookmarkEnd w:id="281"/>
    </w:p>
    <w:p>
      <w:pPr>
        <w:pStyle w:val="41"/>
        <w:spacing w:before="156" w:after="156"/>
      </w:pPr>
      <w:r>
        <w:rPr>
          <w:rFonts w:hint="eastAsia"/>
        </w:rPr>
        <w:t>概述</w:t>
      </w:r>
    </w:p>
    <w:p>
      <w:pPr>
        <w:pStyle w:val="41"/>
        <w:numPr>
          <w:ilvl w:val="2"/>
          <w:numId w:val="0"/>
        </w:numPr>
        <w:spacing w:beforeLines="0" w:afterLines="0"/>
        <w:ind w:firstLine="420" w:firstLineChars="200"/>
        <w:rPr>
          <w:rFonts w:ascii="宋体" w:hAnsi="宋体" w:eastAsia="宋体"/>
        </w:rPr>
      </w:pPr>
      <w:r>
        <w:rPr>
          <w:rFonts w:hint="eastAsia" w:ascii="宋体" w:hAnsi="宋体" w:eastAsia="宋体"/>
        </w:rPr>
        <w:t>项目管理应包含风险评估、重大活动备案、项目组织、资源筹集、成果确认以及分享体验等环节。</w:t>
      </w:r>
    </w:p>
    <w:p>
      <w:pPr>
        <w:pStyle w:val="41"/>
        <w:spacing w:before="156" w:after="156"/>
      </w:pPr>
      <w:r>
        <w:rPr>
          <w:rFonts w:hint="eastAsia"/>
        </w:rPr>
        <w:t>风险评估</w:t>
      </w:r>
    </w:p>
    <w:p>
      <w:pPr>
        <w:pStyle w:val="21"/>
      </w:pPr>
      <w:r>
        <w:rPr>
          <w:rFonts w:hint="eastAsia"/>
        </w:rPr>
        <w:t>根据志愿服务组织、志愿者个人申请或社会实际需求，制定项目计划，确定志愿服务项目，科学进行风险评估。</w:t>
      </w:r>
    </w:p>
    <w:p>
      <w:pPr>
        <w:pStyle w:val="41"/>
        <w:spacing w:before="156" w:after="156"/>
      </w:pPr>
      <w:r>
        <w:rPr>
          <w:rFonts w:hint="eastAsia"/>
        </w:rPr>
        <w:t>重大活动备案</w:t>
      </w:r>
    </w:p>
    <w:p>
      <w:pPr>
        <w:pStyle w:val="21"/>
      </w:pPr>
      <w:r>
        <w:rPr>
          <w:rFonts w:hint="eastAsia"/>
        </w:rPr>
        <w:t>志愿服务组织开展重大活动时，应按照法律法规规定向主管部门备案。</w:t>
      </w:r>
    </w:p>
    <w:p>
      <w:pPr>
        <w:pStyle w:val="41"/>
        <w:spacing w:before="156" w:after="156"/>
      </w:pPr>
      <w:r>
        <w:rPr>
          <w:rFonts w:hint="eastAsia"/>
        </w:rPr>
        <w:t>项目组织</w:t>
      </w:r>
    </w:p>
    <w:p>
      <w:pPr>
        <w:pStyle w:val="21"/>
      </w:pPr>
      <w:r>
        <w:rPr>
          <w:rFonts w:hint="eastAsia"/>
        </w:rPr>
        <w:t>根据项目计划，志愿服务组织实施志愿服务项目，并可与志愿者签订协议，明确服务的内容、时间，约定双方的权利和义务。</w:t>
      </w:r>
    </w:p>
    <w:p>
      <w:pPr>
        <w:pStyle w:val="41"/>
        <w:spacing w:before="156" w:after="156"/>
      </w:pPr>
      <w:r>
        <w:rPr>
          <w:rFonts w:hint="eastAsia"/>
        </w:rPr>
        <w:t>资源筹集</w:t>
      </w:r>
    </w:p>
    <w:p>
      <w:pPr>
        <w:pStyle w:val="21"/>
      </w:pPr>
      <w:r>
        <w:rPr>
          <w:rFonts w:hint="eastAsia"/>
          <w:shd w:val="clear" w:color="auto" w:fill="FFFFFF"/>
        </w:rPr>
        <w:t>志愿服务经费等资源的筹集、管理和使用应当向社会公开，并依法接受有关部门、志愿者、捐赠者、资助者和社会的监督。</w:t>
      </w:r>
    </w:p>
    <w:p>
      <w:pPr>
        <w:pStyle w:val="41"/>
        <w:spacing w:before="156" w:after="156"/>
      </w:pPr>
      <w:r>
        <w:rPr>
          <w:rFonts w:hint="eastAsia"/>
        </w:rPr>
        <w:t>成果确认</w:t>
      </w:r>
    </w:p>
    <w:p>
      <w:pPr>
        <w:pStyle w:val="21"/>
      </w:pPr>
      <w:r>
        <w:rPr>
          <w:rFonts w:hint="eastAsia" w:cs="Arial"/>
        </w:rPr>
        <w:t>根据志愿服务时间和服务质量，</w:t>
      </w:r>
      <w:r>
        <w:rPr>
          <w:rFonts w:hint="eastAsia"/>
        </w:rPr>
        <w:t>志愿服务组织对志愿者的服务成果进行确认。</w:t>
      </w:r>
    </w:p>
    <w:p>
      <w:pPr>
        <w:pStyle w:val="41"/>
        <w:spacing w:before="156" w:after="156"/>
      </w:pPr>
      <w:r>
        <w:rPr>
          <w:rFonts w:hint="eastAsia"/>
        </w:rPr>
        <w:t>分享体验</w:t>
      </w:r>
    </w:p>
    <w:p>
      <w:pPr>
        <w:pStyle w:val="21"/>
      </w:pPr>
      <w:r>
        <w:rPr>
          <w:rFonts w:hint="eastAsia"/>
        </w:rPr>
        <w:t>项目结束后宜组织志愿者交流分享体会，总结经验，宣传典型个案及星级志愿者事例，提升服务能力。</w:t>
      </w:r>
    </w:p>
    <w:p>
      <w:pPr>
        <w:pStyle w:val="37"/>
        <w:spacing w:before="156" w:after="156"/>
      </w:pPr>
      <w:bookmarkStart w:id="282" w:name="_Toc477882981"/>
      <w:bookmarkStart w:id="283" w:name="_Toc482275546"/>
      <w:bookmarkStart w:id="284" w:name="_Toc482275727"/>
      <w:bookmarkStart w:id="285" w:name="_Toc483401223"/>
      <w:bookmarkStart w:id="286" w:name="_Toc490126690"/>
      <w:bookmarkStart w:id="287" w:name="_Toc491072342"/>
      <w:bookmarkStart w:id="288" w:name="_Toc493668782"/>
      <w:bookmarkStart w:id="289" w:name="_Toc493668965"/>
      <w:bookmarkStart w:id="290" w:name="_Toc496687140"/>
      <w:bookmarkStart w:id="291" w:name="_Toc496687234"/>
      <w:bookmarkStart w:id="292" w:name="_Toc502159001"/>
      <w:bookmarkStart w:id="293" w:name="_Toc519070171"/>
      <w:bookmarkStart w:id="294" w:name="_Toc519070474"/>
      <w:bookmarkStart w:id="295" w:name="_Toc519070541"/>
      <w:bookmarkStart w:id="296" w:name="_Toc528331243"/>
      <w:bookmarkStart w:id="297" w:name="_Toc528335743"/>
      <w:bookmarkStart w:id="298" w:name="_Toc530475138"/>
      <w:bookmarkStart w:id="299" w:name="_Toc532820489"/>
      <w:bookmarkStart w:id="300" w:name="_Toc533435874"/>
      <w:r>
        <w:rPr>
          <w:rFonts w:hint="eastAsia"/>
        </w:rPr>
        <w:t>文件、记录、档案管理</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41"/>
        <w:spacing w:before="156" w:after="156"/>
      </w:pPr>
      <w:r>
        <w:rPr>
          <w:rFonts w:hint="eastAsia"/>
        </w:rPr>
        <w:t>文件管理</w:t>
      </w:r>
    </w:p>
    <w:p>
      <w:pPr>
        <w:pStyle w:val="21"/>
        <w:rPr>
          <w:highlight w:val="yellow"/>
        </w:rPr>
      </w:pPr>
      <w:r>
        <w:rPr>
          <w:rFonts w:hint="eastAsia"/>
        </w:rPr>
        <w:t>制定文件管理制度，文件分类清晰，宜增加信息化管理手段进行文件管理。</w:t>
      </w:r>
    </w:p>
    <w:p>
      <w:pPr>
        <w:pStyle w:val="41"/>
        <w:spacing w:before="156" w:after="156"/>
      </w:pPr>
      <w:r>
        <w:rPr>
          <w:rFonts w:hint="eastAsia"/>
        </w:rPr>
        <w:t>记录管理</w:t>
      </w:r>
    </w:p>
    <w:p>
      <w:pPr>
        <w:pStyle w:val="21"/>
      </w:pPr>
      <w:r>
        <w:rPr>
          <w:rFonts w:hint="eastAsia"/>
        </w:rPr>
        <w:t>制定记录管理制度，并依据《志愿服务条例》和志愿服务记录相关规定对志愿者、志愿服务项目等信息记录，并有专人负责，宜录入全国志愿服务信息系统。记录应长期妥善保存，并做好记录的保密工作。</w:t>
      </w:r>
    </w:p>
    <w:p>
      <w:pPr>
        <w:pStyle w:val="41"/>
        <w:spacing w:before="156" w:after="156"/>
      </w:pPr>
      <w:r>
        <w:rPr>
          <w:rFonts w:hint="eastAsia"/>
        </w:rPr>
        <w:t>档案管理</w:t>
      </w:r>
    </w:p>
    <w:p>
      <w:pPr>
        <w:pStyle w:val="21"/>
      </w:pPr>
      <w:r>
        <w:rPr>
          <w:rFonts w:hint="eastAsia"/>
        </w:rPr>
        <w:t>制定档案管理制度，分类建立志愿者及服务项目档案，确保档案完整，一人（事）一档，长期保存，并做好档案的保密工作。</w:t>
      </w:r>
    </w:p>
    <w:p>
      <w:pPr>
        <w:pStyle w:val="37"/>
        <w:spacing w:before="156" w:after="156"/>
      </w:pPr>
      <w:bookmarkStart w:id="301" w:name="_Toc532820490"/>
      <w:bookmarkStart w:id="302" w:name="_Toc533435875"/>
      <w:r>
        <w:rPr>
          <w:rFonts w:hint="eastAsia"/>
        </w:rPr>
        <w:t>安全与应急</w:t>
      </w:r>
      <w:bookmarkEnd w:id="301"/>
      <w:bookmarkEnd w:id="302"/>
      <w:bookmarkStart w:id="303" w:name="_Toc496687236"/>
      <w:bookmarkStart w:id="304" w:name="_Toc496687142"/>
    </w:p>
    <w:p>
      <w:pPr>
        <w:pStyle w:val="41"/>
        <w:spacing w:beforeLines="0" w:afterLines="0"/>
        <w:rPr>
          <w:rFonts w:ascii="宋体" w:hAnsi="宋体" w:eastAsia="宋体"/>
        </w:rPr>
      </w:pPr>
      <w:bookmarkStart w:id="305" w:name="_Toc493668967"/>
      <w:bookmarkStart w:id="306" w:name="_Toc493668784"/>
      <w:r>
        <w:rPr>
          <w:rFonts w:hint="eastAsia" w:ascii="宋体" w:hAnsi="宋体" w:eastAsia="宋体"/>
        </w:rPr>
        <w:t>建立并执行安全管理制度。</w:t>
      </w:r>
      <w:bookmarkEnd w:id="305"/>
      <w:bookmarkEnd w:id="306"/>
    </w:p>
    <w:p>
      <w:pPr>
        <w:pStyle w:val="41"/>
        <w:spacing w:beforeLines="0" w:afterLines="0"/>
        <w:rPr>
          <w:rFonts w:ascii="宋体" w:hAnsi="宋体" w:eastAsia="宋体"/>
        </w:rPr>
      </w:pPr>
      <w:bookmarkStart w:id="307" w:name="_Toc493668785"/>
      <w:bookmarkStart w:id="308" w:name="_Toc493668968"/>
      <w:r>
        <w:rPr>
          <w:rFonts w:hint="eastAsia" w:ascii="宋体" w:hAnsi="宋体" w:eastAsia="宋体"/>
        </w:rPr>
        <w:t>有应对自然灾害、消防及其他突发安全事件的应急预案。</w:t>
      </w:r>
      <w:bookmarkEnd w:id="307"/>
      <w:bookmarkEnd w:id="308"/>
    </w:p>
    <w:p>
      <w:pPr>
        <w:pStyle w:val="41"/>
        <w:spacing w:beforeLines="0" w:afterLines="0"/>
        <w:rPr>
          <w:rFonts w:ascii="宋体" w:hAnsi="宋体" w:eastAsia="宋体"/>
        </w:rPr>
      </w:pPr>
      <w:bookmarkStart w:id="309" w:name="_Toc493668786"/>
      <w:bookmarkStart w:id="310" w:name="_Toc493668969"/>
      <w:r>
        <w:rPr>
          <w:rFonts w:hint="eastAsia" w:ascii="宋体" w:hAnsi="宋体" w:eastAsia="宋体"/>
        </w:rPr>
        <w:t>成立应急处置小组，配备专（兼）职的消防安全员，消防及急救用品。</w:t>
      </w:r>
      <w:bookmarkEnd w:id="309"/>
      <w:bookmarkEnd w:id="310"/>
    </w:p>
    <w:p>
      <w:pPr>
        <w:pStyle w:val="41"/>
        <w:spacing w:beforeLines="0" w:afterLines="0"/>
        <w:rPr>
          <w:rFonts w:ascii="宋体" w:hAnsi="宋体" w:eastAsia="宋体"/>
        </w:rPr>
      </w:pPr>
      <w:bookmarkStart w:id="311" w:name="_Toc493668787"/>
      <w:bookmarkStart w:id="312" w:name="_Toc493668970"/>
      <w:r>
        <w:rPr>
          <w:rFonts w:hint="eastAsia" w:ascii="宋体" w:hAnsi="宋体" w:eastAsia="宋体"/>
        </w:rPr>
        <w:t>定期开展安全隐患排查，并督促整改。</w:t>
      </w:r>
      <w:bookmarkEnd w:id="311"/>
      <w:bookmarkEnd w:id="312"/>
    </w:p>
    <w:p>
      <w:pPr>
        <w:pStyle w:val="41"/>
        <w:spacing w:beforeLines="0" w:afterLines="0"/>
        <w:rPr>
          <w:rFonts w:ascii="宋体" w:hAnsi="宋体" w:eastAsia="宋体"/>
        </w:rPr>
      </w:pPr>
      <w:bookmarkStart w:id="313" w:name="_Toc493668789"/>
      <w:bookmarkStart w:id="314" w:name="_Toc493668972"/>
      <w:r>
        <w:rPr>
          <w:rFonts w:hint="eastAsia" w:ascii="宋体" w:hAnsi="宋体" w:eastAsia="宋体"/>
        </w:rPr>
        <w:t>不定期组织管理人员、志愿者进行安全知识、应急救援知识教育和实地演练。</w:t>
      </w:r>
      <w:bookmarkEnd w:id="313"/>
      <w:bookmarkEnd w:id="314"/>
    </w:p>
    <w:p>
      <w:pPr>
        <w:pStyle w:val="40"/>
        <w:spacing w:before="312" w:after="312"/>
      </w:pPr>
      <w:bookmarkStart w:id="315" w:name="_Toc502158953"/>
      <w:bookmarkStart w:id="316" w:name="_Toc502159004"/>
      <w:bookmarkStart w:id="317" w:name="_Toc519070176"/>
      <w:bookmarkStart w:id="318" w:name="_Toc519070479"/>
      <w:bookmarkStart w:id="319" w:name="_Toc519070546"/>
      <w:bookmarkStart w:id="320" w:name="_Toc528331248"/>
      <w:bookmarkStart w:id="321" w:name="_Toc528335747"/>
      <w:bookmarkStart w:id="322" w:name="_Toc530475142"/>
      <w:bookmarkStart w:id="323" w:name="_Toc532820458"/>
      <w:bookmarkStart w:id="324" w:name="_Toc532820491"/>
      <w:bookmarkStart w:id="325" w:name="_Toc533435876"/>
      <w:r>
        <w:rPr>
          <w:rFonts w:hint="eastAsia"/>
        </w:rPr>
        <w:t>评估与改进</w:t>
      </w:r>
      <w:bookmarkEnd w:id="303"/>
      <w:bookmarkEnd w:id="304"/>
      <w:bookmarkEnd w:id="315"/>
      <w:bookmarkEnd w:id="316"/>
      <w:bookmarkEnd w:id="317"/>
      <w:bookmarkEnd w:id="318"/>
      <w:bookmarkEnd w:id="319"/>
      <w:bookmarkEnd w:id="320"/>
      <w:bookmarkEnd w:id="321"/>
      <w:bookmarkEnd w:id="322"/>
      <w:bookmarkEnd w:id="323"/>
      <w:bookmarkEnd w:id="324"/>
      <w:bookmarkEnd w:id="325"/>
    </w:p>
    <w:p>
      <w:pPr>
        <w:pStyle w:val="37"/>
        <w:spacing w:before="156" w:after="156"/>
      </w:pPr>
      <w:bookmarkStart w:id="326" w:name="_Toc496687143"/>
      <w:bookmarkStart w:id="327" w:name="_Toc496687237"/>
      <w:bookmarkStart w:id="328" w:name="_Toc502159005"/>
      <w:bookmarkStart w:id="329" w:name="_Toc519070177"/>
      <w:bookmarkStart w:id="330" w:name="_Toc519070480"/>
      <w:bookmarkStart w:id="331" w:name="_Toc519070547"/>
      <w:bookmarkStart w:id="332" w:name="_Toc528331249"/>
      <w:bookmarkStart w:id="333" w:name="_Toc528335748"/>
      <w:bookmarkStart w:id="334" w:name="_Toc530475143"/>
      <w:bookmarkStart w:id="335" w:name="_Toc532820492"/>
      <w:bookmarkStart w:id="336" w:name="_Toc533435877"/>
      <w:r>
        <w:rPr>
          <w:rFonts w:hint="eastAsia"/>
        </w:rPr>
        <w:t>组织评估</w:t>
      </w:r>
      <w:bookmarkEnd w:id="326"/>
      <w:bookmarkEnd w:id="327"/>
      <w:bookmarkEnd w:id="328"/>
      <w:bookmarkEnd w:id="329"/>
      <w:bookmarkEnd w:id="330"/>
      <w:bookmarkEnd w:id="331"/>
      <w:bookmarkEnd w:id="332"/>
      <w:bookmarkEnd w:id="333"/>
      <w:bookmarkEnd w:id="334"/>
      <w:bookmarkEnd w:id="335"/>
      <w:bookmarkEnd w:id="336"/>
    </w:p>
    <w:p>
      <w:pPr>
        <w:pStyle w:val="58"/>
      </w:pPr>
      <w:r>
        <w:rPr>
          <w:rFonts w:hint="eastAsia"/>
        </w:rPr>
        <w:t>应建立全面有效的评估管理制度。</w:t>
      </w:r>
    </w:p>
    <w:p>
      <w:pPr>
        <w:pStyle w:val="58"/>
      </w:pPr>
      <w:r>
        <w:rPr>
          <w:rFonts w:hint="eastAsia"/>
        </w:rPr>
        <w:t>实行组织内部日常监管、行政监管、行业自律、社会监督，也可委托第三方专业机构评估。</w:t>
      </w:r>
    </w:p>
    <w:p>
      <w:pPr>
        <w:pStyle w:val="58"/>
      </w:pPr>
      <w:r>
        <w:rPr>
          <w:rFonts w:hint="eastAsia"/>
        </w:rPr>
        <w:t>定期对志愿服务组织的基本条件、服务伦理、内部治理、工作绩效和社会评价（基础条件、服务资源、服务能力、服务机制、服务效果、信用与荣誉）等，具体评价</w:t>
      </w:r>
      <w:r>
        <w:t>方法参见附录A</w:t>
      </w:r>
      <w:r>
        <w:rPr>
          <w:rFonts w:hint="eastAsia"/>
        </w:rPr>
        <w:t>。</w:t>
      </w:r>
    </w:p>
    <w:p>
      <w:pPr>
        <w:pStyle w:val="58"/>
      </w:pPr>
      <w:r>
        <w:rPr>
          <w:rFonts w:hint="eastAsia"/>
        </w:rPr>
        <w:t>应建立服务投诉平台，畅通投诉渠道。</w:t>
      </w:r>
    </w:p>
    <w:p>
      <w:pPr>
        <w:pStyle w:val="37"/>
        <w:spacing w:before="156" w:after="156"/>
      </w:pPr>
      <w:bookmarkStart w:id="337" w:name="_Toc496687144"/>
      <w:bookmarkStart w:id="338" w:name="_Toc496687238"/>
      <w:bookmarkStart w:id="339" w:name="_Toc502159006"/>
      <w:bookmarkStart w:id="340" w:name="_Toc519070178"/>
      <w:bookmarkStart w:id="341" w:name="_Toc519070481"/>
      <w:bookmarkStart w:id="342" w:name="_Toc519070548"/>
      <w:bookmarkStart w:id="343" w:name="_Toc528331250"/>
      <w:bookmarkStart w:id="344" w:name="_Toc528335749"/>
      <w:bookmarkStart w:id="345" w:name="_Toc530475144"/>
      <w:bookmarkStart w:id="346" w:name="_Toc532820493"/>
      <w:bookmarkStart w:id="347" w:name="_Toc533435878"/>
      <w:r>
        <w:rPr>
          <w:rFonts w:hint="eastAsia"/>
        </w:rPr>
        <w:t>持续改进</w:t>
      </w:r>
      <w:bookmarkEnd w:id="337"/>
      <w:bookmarkEnd w:id="338"/>
      <w:bookmarkEnd w:id="339"/>
      <w:bookmarkEnd w:id="340"/>
      <w:bookmarkEnd w:id="341"/>
      <w:bookmarkEnd w:id="342"/>
      <w:bookmarkEnd w:id="343"/>
      <w:bookmarkEnd w:id="344"/>
      <w:bookmarkEnd w:id="345"/>
      <w:bookmarkEnd w:id="346"/>
      <w:bookmarkEnd w:id="347"/>
    </w:p>
    <w:p>
      <w:pPr>
        <w:pStyle w:val="58"/>
      </w:pPr>
      <w:r>
        <w:rPr>
          <w:rFonts w:hint="eastAsia"/>
        </w:rPr>
        <w:t>应建立持续改进机制，推进志愿服务组织诚信体系。</w:t>
      </w:r>
    </w:p>
    <w:p>
      <w:pPr>
        <w:pStyle w:val="58"/>
      </w:pPr>
      <w:r>
        <w:rPr>
          <w:rFonts w:hint="eastAsia"/>
        </w:rPr>
        <w:t>通过对投诉意见、评估结果等相关信息的收集和分析，采取必要的纠正措施和预防措施。</w:t>
      </w:r>
    </w:p>
    <w:p>
      <w:pPr>
        <w:pStyle w:val="58"/>
      </w:pPr>
      <w:r>
        <w:rPr>
          <w:rFonts w:hint="eastAsia"/>
        </w:rPr>
        <w:t>应对所采取措施的有效性进行跟踪评价，持续改进服务质量。</w:t>
      </w:r>
    </w:p>
    <w:p>
      <w:pPr>
        <w:pStyle w:val="91"/>
      </w:pPr>
    </w:p>
    <w:p>
      <w:pPr>
        <w:pStyle w:val="80"/>
        <w:tabs>
          <w:tab w:val="clear" w:pos="0"/>
        </w:tabs>
      </w:pPr>
    </w:p>
    <w:p>
      <w:pPr>
        <w:pStyle w:val="78"/>
      </w:pPr>
      <w:r>
        <w:br/>
      </w:r>
      <w:bookmarkStart w:id="348" w:name="_Toc530475145"/>
      <w:bookmarkStart w:id="349" w:name="_Toc532820459"/>
      <w:bookmarkStart w:id="350" w:name="_Toc532820494"/>
      <w:bookmarkStart w:id="351" w:name="_Toc533435879"/>
      <w:r>
        <w:rPr>
          <w:rFonts w:hint="eastAsia"/>
        </w:rPr>
        <w:t>（规范性附录）</w:t>
      </w:r>
      <w:r>
        <w:br/>
      </w:r>
      <w:r>
        <w:rPr>
          <w:rFonts w:hint="eastAsia"/>
        </w:rPr>
        <w:t>志愿服务组织评价</w:t>
      </w:r>
      <w:bookmarkEnd w:id="348"/>
      <w:bookmarkEnd w:id="349"/>
      <w:bookmarkEnd w:id="350"/>
      <w:r>
        <w:rPr>
          <w:rFonts w:hint="eastAsia"/>
        </w:rPr>
        <w:t>方法</w:t>
      </w:r>
      <w:bookmarkEnd w:id="351"/>
    </w:p>
    <w:p>
      <w:pPr>
        <w:pStyle w:val="95"/>
        <w:spacing w:before="312" w:after="312"/>
      </w:pPr>
      <w:r>
        <w:rPr>
          <w:rFonts w:hint="eastAsia"/>
        </w:rPr>
        <w:t>概述</w:t>
      </w:r>
    </w:p>
    <w:p>
      <w:pPr>
        <w:pStyle w:val="96"/>
        <w:spacing w:before="156" w:after="156"/>
      </w:pPr>
      <w:r>
        <w:rPr>
          <w:rFonts w:hint="eastAsia"/>
        </w:rPr>
        <w:t>评价原则</w:t>
      </w:r>
    </w:p>
    <w:p>
      <w:pPr>
        <w:pStyle w:val="21"/>
      </w:pPr>
      <w:bookmarkStart w:id="352" w:name="_Toc427590939"/>
      <w:r>
        <w:rPr>
          <w:rFonts w:hint="eastAsia"/>
        </w:rPr>
        <w:t>志愿服务组织评价的原则包括：</w:t>
      </w:r>
    </w:p>
    <w:p>
      <w:pPr>
        <w:pStyle w:val="54"/>
        <w:numPr>
          <w:ilvl w:val="0"/>
          <w:numId w:val="22"/>
        </w:numPr>
      </w:pPr>
      <w:r>
        <w:rPr>
          <w:rFonts w:hint="eastAsia"/>
        </w:rPr>
        <w:t>科学性原则：</w:t>
      </w:r>
      <w:bookmarkEnd w:id="352"/>
      <w:r>
        <w:rPr>
          <w:rFonts w:hint="eastAsia"/>
        </w:rPr>
        <w:t>评价应有科学的理论作为指导，使评价指标体系能够在基本概念和逻辑结构上严谨、合理，抓住评价对象的实质，并具有针对性；</w:t>
      </w:r>
    </w:p>
    <w:p>
      <w:pPr>
        <w:pStyle w:val="54"/>
        <w:numPr>
          <w:ilvl w:val="0"/>
          <w:numId w:val="22"/>
        </w:numPr>
      </w:pPr>
      <w:bookmarkStart w:id="353" w:name="_Toc427590940"/>
      <w:r>
        <w:rPr>
          <w:rFonts w:hint="eastAsia"/>
        </w:rPr>
        <w:t>系统优化原则</w:t>
      </w:r>
      <w:bookmarkEnd w:id="353"/>
      <w:r>
        <w:rPr>
          <w:rFonts w:hint="eastAsia"/>
        </w:rPr>
        <w:t>：</w:t>
      </w:r>
      <w:bookmarkStart w:id="354" w:name="_Toc425174409"/>
      <w:bookmarkEnd w:id="354"/>
      <w:r>
        <w:rPr>
          <w:rFonts w:hint="eastAsia"/>
        </w:rPr>
        <w:t>评价对象应用若干指标进行衡量，这些指标是互相联系和互相制约的，达到整体功能的最优；</w:t>
      </w:r>
    </w:p>
    <w:p>
      <w:pPr>
        <w:pStyle w:val="54"/>
        <w:numPr>
          <w:ilvl w:val="0"/>
          <w:numId w:val="22"/>
        </w:numPr>
      </w:pPr>
      <w:bookmarkStart w:id="355" w:name="_Toc427590941"/>
      <w:r>
        <w:rPr>
          <w:rFonts w:hint="eastAsia"/>
        </w:rPr>
        <w:t>实用性原则</w:t>
      </w:r>
      <w:bookmarkEnd w:id="355"/>
      <w:r>
        <w:rPr>
          <w:rFonts w:hint="eastAsia"/>
        </w:rPr>
        <w:t>：在保证评价结果客观性、全面性的条件下，评价指标应尽可能简化，使评价方法简便易行；</w:t>
      </w:r>
    </w:p>
    <w:p>
      <w:pPr>
        <w:pStyle w:val="54"/>
        <w:numPr>
          <w:ilvl w:val="0"/>
          <w:numId w:val="22"/>
        </w:numPr>
      </w:pPr>
      <w:bookmarkStart w:id="356" w:name="_Toc427590942"/>
      <w:r>
        <w:rPr>
          <w:rFonts w:hint="eastAsia"/>
        </w:rPr>
        <w:t>目标导向性原则</w:t>
      </w:r>
      <w:bookmarkEnd w:id="356"/>
      <w:r>
        <w:rPr>
          <w:rFonts w:hint="eastAsia"/>
        </w:rPr>
        <w:t>：评价的结果应具有引导和鼓励被评价对象向正确的方向和目标发展的作用。</w:t>
      </w:r>
    </w:p>
    <w:p>
      <w:pPr>
        <w:pStyle w:val="96"/>
        <w:spacing w:before="156" w:after="156"/>
      </w:pPr>
      <w:r>
        <w:rPr>
          <w:rFonts w:hint="eastAsia"/>
        </w:rPr>
        <w:t>评价</w:t>
      </w:r>
      <w:r>
        <w:t>对象要求</w:t>
      </w:r>
    </w:p>
    <w:p>
      <w:pPr>
        <w:pStyle w:val="43"/>
        <w:numPr>
          <w:ilvl w:val="0"/>
          <w:numId w:val="0"/>
        </w:numPr>
        <w:ind w:left="692" w:hanging="408"/>
      </w:pPr>
      <w:r>
        <w:t>评价对象应满足如下要求：</w:t>
      </w:r>
    </w:p>
    <w:p>
      <w:pPr>
        <w:pStyle w:val="54"/>
        <w:numPr>
          <w:ilvl w:val="0"/>
          <w:numId w:val="23"/>
        </w:numPr>
      </w:pPr>
      <w:bookmarkStart w:id="357" w:name="_Toc519156447"/>
      <w:bookmarkStart w:id="358" w:name="_Toc522179645"/>
      <w:r>
        <w:rPr>
          <w:rFonts w:hint="eastAsia"/>
        </w:rPr>
        <w:t>可提供志愿服务组织机构的统一社会信用代码，统一社会信用代码应符合GB 32100的规定；</w:t>
      </w:r>
    </w:p>
    <w:p>
      <w:pPr>
        <w:pStyle w:val="54"/>
      </w:pPr>
      <w:r>
        <w:rPr>
          <w:rFonts w:hint="eastAsia"/>
        </w:rPr>
        <w:t>具有国家机关、企事业单位、人民团体、群众性自治组织、社会组织等出具的志愿服务组织成立证明文件。</w:t>
      </w:r>
    </w:p>
    <w:bookmarkEnd w:id="357"/>
    <w:bookmarkEnd w:id="358"/>
    <w:p>
      <w:pPr>
        <w:pStyle w:val="95"/>
        <w:spacing w:before="312" w:after="312"/>
      </w:pPr>
      <w:r>
        <w:rPr>
          <w:rFonts w:hint="eastAsia"/>
        </w:rPr>
        <w:t>评价</w:t>
      </w:r>
      <w:r>
        <w:t>内容</w:t>
      </w:r>
    </w:p>
    <w:p>
      <w:pPr>
        <w:pStyle w:val="96"/>
        <w:spacing w:before="156" w:after="156"/>
      </w:pPr>
      <w:bookmarkStart w:id="359" w:name="_Toc519156448"/>
      <w:bookmarkStart w:id="360" w:name="_Toc522179646"/>
      <w:r>
        <w:rPr>
          <w:rFonts w:hint="eastAsia"/>
        </w:rPr>
        <w:t>总体框架</w:t>
      </w:r>
      <w:bookmarkEnd w:id="359"/>
      <w:bookmarkEnd w:id="360"/>
    </w:p>
    <w:p>
      <w:pPr>
        <w:pStyle w:val="21"/>
      </w:pPr>
      <w:r>
        <w:rPr>
          <w:rFonts w:hint="eastAsia"/>
        </w:rPr>
        <w:t>志愿服务组织评价由基础条件、服务资源、服务能力、服务机制、服务效果、信用与荣誉</w:t>
      </w:r>
      <w:r>
        <w:t>6</w:t>
      </w:r>
      <w:r>
        <w:rPr>
          <w:rFonts w:hint="eastAsia"/>
        </w:rPr>
        <w:t>个评价模块，</w:t>
      </w:r>
      <w:r>
        <w:t>19</w:t>
      </w:r>
      <w:r>
        <w:rPr>
          <w:rFonts w:hint="eastAsia"/>
        </w:rPr>
        <w:t xml:space="preserve">个评价子模块及评价要素构成。 </w:t>
      </w:r>
    </w:p>
    <w:p>
      <w:pPr>
        <w:pStyle w:val="96"/>
        <w:spacing w:before="156" w:after="156"/>
      </w:pPr>
      <w:bookmarkStart w:id="361" w:name="_Toc519156449"/>
      <w:bookmarkStart w:id="362" w:name="_Toc522179647"/>
      <w:r>
        <w:rPr>
          <w:rFonts w:hint="eastAsia"/>
        </w:rPr>
        <w:t>评价模块</w:t>
      </w:r>
      <w:bookmarkEnd w:id="361"/>
      <w:bookmarkEnd w:id="362"/>
    </w:p>
    <w:p>
      <w:pPr>
        <w:pStyle w:val="82"/>
        <w:spacing w:before="156" w:after="156"/>
      </w:pPr>
      <w:bookmarkStart w:id="363" w:name="_Toc519156451"/>
      <w:r>
        <w:rPr>
          <w:rFonts w:hint="eastAsia"/>
        </w:rPr>
        <w:t>基础条件</w:t>
      </w:r>
      <w:bookmarkEnd w:id="363"/>
    </w:p>
    <w:p>
      <w:pPr>
        <w:pStyle w:val="21"/>
      </w:pPr>
      <w:r>
        <w:rPr>
          <w:rFonts w:hint="eastAsia"/>
        </w:rPr>
        <w:t>基础条件指志愿服务组织从事志愿服务活动需具备的外部条件。</w:t>
      </w:r>
    </w:p>
    <w:p>
      <w:pPr>
        <w:pStyle w:val="21"/>
      </w:pPr>
      <w:r>
        <w:rPr>
          <w:rFonts w:hint="eastAsia"/>
        </w:rPr>
        <w:t>基础条件的评价子模块包括但不限于：</w:t>
      </w:r>
    </w:p>
    <w:p>
      <w:pPr>
        <w:pStyle w:val="54"/>
        <w:numPr>
          <w:ilvl w:val="0"/>
          <w:numId w:val="24"/>
        </w:numPr>
      </w:pPr>
      <w:r>
        <w:rPr>
          <w:rFonts w:hint="eastAsia"/>
        </w:rPr>
        <w:t>机构设置；</w:t>
      </w:r>
    </w:p>
    <w:p>
      <w:pPr>
        <w:pStyle w:val="54"/>
        <w:numPr>
          <w:ilvl w:val="0"/>
          <w:numId w:val="24"/>
        </w:numPr>
      </w:pPr>
      <w:r>
        <w:rPr>
          <w:rFonts w:hint="eastAsia"/>
        </w:rPr>
        <w:t>基础设施及环境；</w:t>
      </w:r>
    </w:p>
    <w:p>
      <w:pPr>
        <w:pStyle w:val="54"/>
        <w:numPr>
          <w:ilvl w:val="0"/>
          <w:numId w:val="24"/>
        </w:numPr>
      </w:pPr>
      <w:r>
        <w:rPr>
          <w:rFonts w:hint="eastAsia"/>
        </w:rPr>
        <w:t>服务设施及设备；</w:t>
      </w:r>
    </w:p>
    <w:p>
      <w:pPr>
        <w:pStyle w:val="54"/>
        <w:numPr>
          <w:ilvl w:val="0"/>
          <w:numId w:val="24"/>
        </w:numPr>
      </w:pPr>
      <w:r>
        <w:rPr>
          <w:rFonts w:hint="eastAsia"/>
        </w:rPr>
        <w:t>人员要求。</w:t>
      </w:r>
    </w:p>
    <w:p>
      <w:pPr>
        <w:pStyle w:val="82"/>
        <w:spacing w:before="156" w:after="156"/>
      </w:pPr>
      <w:bookmarkStart w:id="364" w:name="_Toc519156452"/>
      <w:r>
        <w:rPr>
          <w:rFonts w:hint="eastAsia"/>
        </w:rPr>
        <w:t>服务资源</w:t>
      </w:r>
      <w:bookmarkEnd w:id="364"/>
    </w:p>
    <w:p>
      <w:pPr>
        <w:pStyle w:val="21"/>
      </w:pPr>
      <w:r>
        <w:rPr>
          <w:rFonts w:hint="eastAsia"/>
        </w:rPr>
        <w:t>服务资源指志愿服务组织为提供志愿服务活动所需的资源总和。</w:t>
      </w:r>
    </w:p>
    <w:p>
      <w:pPr>
        <w:pStyle w:val="21"/>
      </w:pPr>
      <w:r>
        <w:rPr>
          <w:rFonts w:hint="eastAsia"/>
        </w:rPr>
        <w:t>服务资源的评价子模块包括但不限于：</w:t>
      </w:r>
    </w:p>
    <w:p>
      <w:pPr>
        <w:pStyle w:val="54"/>
        <w:numPr>
          <w:ilvl w:val="0"/>
          <w:numId w:val="25"/>
        </w:numPr>
      </w:pPr>
      <w:r>
        <w:rPr>
          <w:rFonts w:hint="eastAsia"/>
        </w:rPr>
        <w:t>人力资源；</w:t>
      </w:r>
    </w:p>
    <w:p>
      <w:pPr>
        <w:pStyle w:val="54"/>
        <w:numPr>
          <w:ilvl w:val="0"/>
          <w:numId w:val="25"/>
        </w:numPr>
      </w:pPr>
      <w:r>
        <w:rPr>
          <w:rFonts w:hint="eastAsia"/>
        </w:rPr>
        <w:t>物质资源。</w:t>
      </w:r>
    </w:p>
    <w:p>
      <w:pPr>
        <w:pStyle w:val="82"/>
        <w:spacing w:before="156" w:after="156"/>
      </w:pPr>
      <w:bookmarkStart w:id="365" w:name="_Toc519156453"/>
      <w:r>
        <w:rPr>
          <w:rFonts w:hint="eastAsia"/>
        </w:rPr>
        <w:t>服务能力</w:t>
      </w:r>
    </w:p>
    <w:p>
      <w:pPr>
        <w:pStyle w:val="21"/>
        <w:rPr>
          <w:color w:val="000000"/>
        </w:rPr>
      </w:pPr>
      <w:r>
        <w:rPr>
          <w:rFonts w:hint="eastAsia"/>
          <w:color w:val="000000"/>
        </w:rPr>
        <w:t>服务能力指志愿</w:t>
      </w:r>
      <w:r>
        <w:rPr>
          <w:color w:val="000000"/>
        </w:rPr>
        <w:t>服务组织</w:t>
      </w:r>
      <w:r>
        <w:rPr>
          <w:rFonts w:hint="eastAsia"/>
          <w:color w:val="000000"/>
        </w:rPr>
        <w:t>提供</w:t>
      </w:r>
      <w:r>
        <w:rPr>
          <w:color w:val="000000"/>
        </w:rPr>
        <w:t>服务的能力程度</w:t>
      </w:r>
      <w:r>
        <w:rPr>
          <w:rFonts w:hint="eastAsia"/>
          <w:color w:val="000000"/>
        </w:rPr>
        <w:t>。</w:t>
      </w:r>
    </w:p>
    <w:p>
      <w:pPr>
        <w:pStyle w:val="21"/>
        <w:rPr>
          <w:color w:val="000000"/>
        </w:rPr>
      </w:pPr>
      <w:r>
        <w:rPr>
          <w:rFonts w:hint="eastAsia"/>
          <w:color w:val="000000"/>
        </w:rPr>
        <w:t>服务能力的评价子模块包括但不限于：</w:t>
      </w:r>
    </w:p>
    <w:p>
      <w:pPr>
        <w:pStyle w:val="54"/>
        <w:numPr>
          <w:ilvl w:val="0"/>
          <w:numId w:val="26"/>
        </w:numPr>
        <w:rPr>
          <w:color w:val="000000"/>
        </w:rPr>
      </w:pPr>
      <w:r>
        <w:rPr>
          <w:rFonts w:hint="eastAsia"/>
          <w:color w:val="000000"/>
        </w:rPr>
        <w:t>志愿服务活动；</w:t>
      </w:r>
    </w:p>
    <w:p>
      <w:pPr>
        <w:pStyle w:val="54"/>
        <w:numPr>
          <w:ilvl w:val="0"/>
          <w:numId w:val="26"/>
        </w:numPr>
        <w:rPr>
          <w:color w:val="000000"/>
        </w:rPr>
      </w:pPr>
      <w:r>
        <w:rPr>
          <w:rFonts w:hint="eastAsia"/>
          <w:color w:val="000000"/>
        </w:rPr>
        <w:t>志愿者培训。</w:t>
      </w:r>
    </w:p>
    <w:p>
      <w:pPr>
        <w:pStyle w:val="82"/>
        <w:spacing w:before="156" w:after="156"/>
      </w:pPr>
      <w:r>
        <w:rPr>
          <w:rFonts w:hint="eastAsia"/>
        </w:rPr>
        <w:t>服务机制</w:t>
      </w:r>
      <w:bookmarkEnd w:id="365"/>
    </w:p>
    <w:p>
      <w:pPr>
        <w:pStyle w:val="21"/>
      </w:pPr>
      <w:r>
        <w:rPr>
          <w:rFonts w:hint="eastAsia"/>
        </w:rPr>
        <w:t>服务机制指志愿服务组织为保证组织高效运行及具有关联性的其他事项最大限度的调度所建立的管理、保障、改进等制度。</w:t>
      </w:r>
    </w:p>
    <w:p>
      <w:pPr>
        <w:pStyle w:val="21"/>
      </w:pPr>
      <w:r>
        <w:rPr>
          <w:rFonts w:hint="eastAsia"/>
        </w:rPr>
        <w:t>服务机制的评价子模块包括但不限于：</w:t>
      </w:r>
    </w:p>
    <w:p>
      <w:pPr>
        <w:pStyle w:val="54"/>
        <w:numPr>
          <w:ilvl w:val="0"/>
          <w:numId w:val="27"/>
        </w:numPr>
      </w:pPr>
      <w:r>
        <w:rPr>
          <w:rFonts w:hint="eastAsia"/>
        </w:rPr>
        <w:t>服务过程管理机制；</w:t>
      </w:r>
    </w:p>
    <w:p>
      <w:pPr>
        <w:pStyle w:val="54"/>
        <w:numPr>
          <w:ilvl w:val="0"/>
          <w:numId w:val="27"/>
        </w:numPr>
      </w:pPr>
      <w:r>
        <w:rPr>
          <w:rFonts w:hint="eastAsia"/>
        </w:rPr>
        <w:t>服务制度管理机制；</w:t>
      </w:r>
    </w:p>
    <w:p>
      <w:pPr>
        <w:pStyle w:val="54"/>
        <w:numPr>
          <w:ilvl w:val="0"/>
          <w:numId w:val="27"/>
        </w:numPr>
      </w:pPr>
      <w:r>
        <w:rPr>
          <w:rFonts w:hint="eastAsia"/>
        </w:rPr>
        <w:t>服务能力保障机制；</w:t>
      </w:r>
    </w:p>
    <w:p>
      <w:pPr>
        <w:pStyle w:val="54"/>
        <w:numPr>
          <w:ilvl w:val="0"/>
          <w:numId w:val="27"/>
        </w:numPr>
      </w:pPr>
      <w:r>
        <w:rPr>
          <w:rFonts w:hint="eastAsia"/>
        </w:rPr>
        <w:t>投诉处理与改进机制；</w:t>
      </w:r>
    </w:p>
    <w:p>
      <w:pPr>
        <w:pStyle w:val="54"/>
        <w:numPr>
          <w:ilvl w:val="0"/>
          <w:numId w:val="27"/>
        </w:numPr>
      </w:pPr>
      <w:r>
        <w:rPr>
          <w:rFonts w:hint="eastAsia"/>
        </w:rPr>
        <w:t>服务激励机制。</w:t>
      </w:r>
    </w:p>
    <w:p>
      <w:pPr>
        <w:pStyle w:val="82"/>
        <w:spacing w:before="156" w:after="156"/>
      </w:pPr>
      <w:bookmarkStart w:id="366" w:name="_Toc519156455"/>
      <w:r>
        <w:rPr>
          <w:rFonts w:hint="eastAsia"/>
        </w:rPr>
        <w:t>服务效果</w:t>
      </w:r>
      <w:bookmarkEnd w:id="366"/>
    </w:p>
    <w:p>
      <w:pPr>
        <w:pStyle w:val="21"/>
      </w:pPr>
      <w:r>
        <w:rPr>
          <w:rFonts w:hint="eastAsia"/>
        </w:rPr>
        <w:t>服务效果指志愿服务组织在志愿服务活动完成后所产生的结果及服务对象、志愿者、社会、政府的认同度等。</w:t>
      </w:r>
    </w:p>
    <w:p>
      <w:pPr>
        <w:pStyle w:val="21"/>
      </w:pPr>
      <w:r>
        <w:rPr>
          <w:rFonts w:hint="eastAsia"/>
        </w:rPr>
        <w:t>服务效果的评价子模块包括但不限于：</w:t>
      </w:r>
    </w:p>
    <w:p>
      <w:pPr>
        <w:pStyle w:val="54"/>
        <w:numPr>
          <w:ilvl w:val="0"/>
          <w:numId w:val="28"/>
        </w:numPr>
      </w:pPr>
      <w:r>
        <w:rPr>
          <w:rFonts w:hint="eastAsia"/>
        </w:rPr>
        <w:t>总体效果；</w:t>
      </w:r>
    </w:p>
    <w:p>
      <w:pPr>
        <w:pStyle w:val="54"/>
        <w:numPr>
          <w:ilvl w:val="0"/>
          <w:numId w:val="28"/>
        </w:numPr>
      </w:pPr>
      <w:r>
        <w:rPr>
          <w:rFonts w:hint="eastAsia"/>
        </w:rPr>
        <w:t>志愿者认同；</w:t>
      </w:r>
    </w:p>
    <w:p>
      <w:pPr>
        <w:pStyle w:val="54"/>
        <w:numPr>
          <w:ilvl w:val="0"/>
          <w:numId w:val="28"/>
        </w:numPr>
      </w:pPr>
      <w:r>
        <w:rPr>
          <w:rFonts w:hint="eastAsia"/>
        </w:rPr>
        <w:t>服务对象认同；</w:t>
      </w:r>
    </w:p>
    <w:p>
      <w:pPr>
        <w:pStyle w:val="54"/>
        <w:numPr>
          <w:ilvl w:val="0"/>
          <w:numId w:val="28"/>
        </w:numPr>
      </w:pPr>
      <w:r>
        <w:rPr>
          <w:rFonts w:hint="eastAsia"/>
        </w:rPr>
        <w:t>公众</w:t>
      </w:r>
      <w:r>
        <w:t>认同。</w:t>
      </w:r>
    </w:p>
    <w:p>
      <w:pPr>
        <w:pStyle w:val="82"/>
        <w:spacing w:before="156" w:after="156"/>
      </w:pPr>
      <w:bookmarkStart w:id="367" w:name="_Toc519156457"/>
      <w:r>
        <w:rPr>
          <w:rFonts w:hint="eastAsia"/>
        </w:rPr>
        <w:t>信用与荣誉</w:t>
      </w:r>
      <w:bookmarkEnd w:id="367"/>
    </w:p>
    <w:p>
      <w:pPr>
        <w:pStyle w:val="21"/>
      </w:pPr>
      <w:r>
        <w:rPr>
          <w:rFonts w:hint="eastAsia"/>
        </w:rPr>
        <w:t>信用与荣誉指志愿服务组织在志愿服务活动中所获得的社会公认信用和名声以及取得的社会认可的相关称号、资质和荣誉等。</w:t>
      </w:r>
    </w:p>
    <w:p>
      <w:pPr>
        <w:pStyle w:val="21"/>
      </w:pPr>
      <w:r>
        <w:rPr>
          <w:rFonts w:hint="eastAsia"/>
        </w:rPr>
        <w:t>信用与荣誉的评价子模块包括但不限于：</w:t>
      </w:r>
    </w:p>
    <w:p>
      <w:pPr>
        <w:pStyle w:val="54"/>
        <w:numPr>
          <w:ilvl w:val="0"/>
          <w:numId w:val="29"/>
        </w:numPr>
      </w:pPr>
      <w:r>
        <w:rPr>
          <w:rFonts w:hint="eastAsia"/>
        </w:rPr>
        <w:t>信用；</w:t>
      </w:r>
    </w:p>
    <w:p>
      <w:pPr>
        <w:pStyle w:val="54"/>
        <w:numPr>
          <w:ilvl w:val="0"/>
          <w:numId w:val="29"/>
        </w:numPr>
      </w:pPr>
      <w:r>
        <w:rPr>
          <w:rFonts w:hint="eastAsia"/>
        </w:rPr>
        <w:t>荣誉。</w:t>
      </w:r>
    </w:p>
    <w:p>
      <w:pPr>
        <w:pStyle w:val="95"/>
        <w:spacing w:before="312" w:after="312"/>
      </w:pPr>
      <w:bookmarkStart w:id="368" w:name="_Toc519156459"/>
      <w:bookmarkStart w:id="369" w:name="_Toc522179648"/>
      <w:r>
        <w:rPr>
          <w:rFonts w:hint="eastAsia"/>
        </w:rPr>
        <w:t>评价</w:t>
      </w:r>
      <w:bookmarkEnd w:id="368"/>
      <w:bookmarkEnd w:id="369"/>
      <w:r>
        <w:rPr>
          <w:rFonts w:hint="eastAsia"/>
        </w:rPr>
        <w:t>要素</w:t>
      </w:r>
    </w:p>
    <w:p>
      <w:pPr>
        <w:pStyle w:val="96"/>
        <w:spacing w:before="156" w:after="156"/>
      </w:pPr>
      <w:bookmarkStart w:id="370" w:name="_Toc519156465"/>
      <w:bookmarkStart w:id="371" w:name="_Toc522179650"/>
      <w:r>
        <w:rPr>
          <w:rFonts w:hint="eastAsia"/>
        </w:rPr>
        <w:t>基础条件</w:t>
      </w:r>
      <w:bookmarkEnd w:id="370"/>
      <w:bookmarkEnd w:id="371"/>
    </w:p>
    <w:p>
      <w:pPr>
        <w:pStyle w:val="82"/>
        <w:spacing w:before="156" w:after="156"/>
      </w:pPr>
      <w:r>
        <w:rPr>
          <w:rFonts w:hint="eastAsia"/>
        </w:rPr>
        <w:t>机构设置</w:t>
      </w:r>
    </w:p>
    <w:p>
      <w:pPr>
        <w:pStyle w:val="21"/>
      </w:pPr>
      <w:r>
        <w:rPr>
          <w:rFonts w:hint="eastAsia"/>
        </w:rPr>
        <w:t>机构设置的评价内容包括但不限于：</w:t>
      </w:r>
    </w:p>
    <w:p>
      <w:pPr>
        <w:pStyle w:val="54"/>
        <w:numPr>
          <w:ilvl w:val="0"/>
          <w:numId w:val="30"/>
        </w:numPr>
      </w:pPr>
      <w:r>
        <w:rPr>
          <w:rFonts w:hint="eastAsia"/>
        </w:rPr>
        <w:t>遵守相关法律法规及其他要求（包括社会道德规范），所有活动应在法律范围内开展；</w:t>
      </w:r>
    </w:p>
    <w:p>
      <w:pPr>
        <w:pStyle w:val="54"/>
        <w:numPr>
          <w:ilvl w:val="0"/>
          <w:numId w:val="30"/>
        </w:numPr>
      </w:pPr>
      <w:r>
        <w:rPr>
          <w:rFonts w:hint="eastAsia"/>
        </w:rPr>
        <w:t>建立组织章程、管理制度等；</w:t>
      </w:r>
    </w:p>
    <w:p>
      <w:pPr>
        <w:pStyle w:val="54"/>
        <w:numPr>
          <w:ilvl w:val="0"/>
          <w:numId w:val="30"/>
        </w:numPr>
      </w:pPr>
      <w:r>
        <w:rPr>
          <w:rFonts w:hint="eastAsia"/>
        </w:rPr>
        <w:t>具有固定的使命表述；</w:t>
      </w:r>
    </w:p>
    <w:p>
      <w:pPr>
        <w:pStyle w:val="54"/>
        <w:numPr>
          <w:ilvl w:val="0"/>
          <w:numId w:val="30"/>
        </w:numPr>
      </w:pPr>
      <w:r>
        <w:rPr>
          <w:rFonts w:hint="eastAsia"/>
        </w:rPr>
        <w:t>建立内部治理组织架构；</w:t>
      </w:r>
    </w:p>
    <w:p>
      <w:pPr>
        <w:pStyle w:val="54"/>
        <w:numPr>
          <w:ilvl w:val="0"/>
          <w:numId w:val="30"/>
        </w:numPr>
      </w:pPr>
      <w:r>
        <w:rPr>
          <w:rFonts w:hint="eastAsia"/>
        </w:rPr>
        <w:t>所提供志愿服务不应以营利为目的；</w:t>
      </w:r>
      <w:r>
        <w:t xml:space="preserve"> </w:t>
      </w:r>
    </w:p>
    <w:p>
      <w:pPr>
        <w:pStyle w:val="54"/>
        <w:numPr>
          <w:ilvl w:val="0"/>
          <w:numId w:val="30"/>
        </w:numPr>
        <w:rPr>
          <w:color w:val="000000"/>
        </w:rPr>
      </w:pPr>
      <w:r>
        <w:rPr>
          <w:rFonts w:hint="eastAsia"/>
          <w:color w:val="000000"/>
        </w:rPr>
        <w:t>设立党的组织。</w:t>
      </w:r>
    </w:p>
    <w:p>
      <w:pPr>
        <w:pStyle w:val="82"/>
        <w:spacing w:before="156" w:after="156"/>
      </w:pPr>
      <w:bookmarkStart w:id="372" w:name="_Toc519156466"/>
      <w:r>
        <w:rPr>
          <w:rFonts w:hint="eastAsia"/>
        </w:rPr>
        <w:t>基础设施及环境</w:t>
      </w:r>
      <w:bookmarkEnd w:id="372"/>
    </w:p>
    <w:p>
      <w:pPr>
        <w:pStyle w:val="21"/>
      </w:pPr>
      <w:r>
        <w:rPr>
          <w:rFonts w:hint="eastAsia"/>
        </w:rPr>
        <w:t>基础设施及环境的评价内容包括但不限于：</w:t>
      </w:r>
    </w:p>
    <w:p>
      <w:pPr>
        <w:pStyle w:val="54"/>
        <w:numPr>
          <w:ilvl w:val="0"/>
          <w:numId w:val="31"/>
        </w:numPr>
      </w:pPr>
      <w:r>
        <w:rPr>
          <w:rFonts w:hint="eastAsia"/>
        </w:rPr>
        <w:t>具有独立或相对独立的工作场所；</w:t>
      </w:r>
    </w:p>
    <w:p>
      <w:pPr>
        <w:pStyle w:val="54"/>
        <w:numPr>
          <w:ilvl w:val="0"/>
          <w:numId w:val="31"/>
        </w:numPr>
      </w:pPr>
      <w:r>
        <w:rPr>
          <w:rFonts w:hint="eastAsia"/>
        </w:rPr>
        <w:t>具有办公必须设备；</w:t>
      </w:r>
    </w:p>
    <w:p>
      <w:pPr>
        <w:pStyle w:val="54"/>
        <w:numPr>
          <w:ilvl w:val="0"/>
          <w:numId w:val="31"/>
        </w:numPr>
      </w:pPr>
      <w:r>
        <w:rPr>
          <w:rFonts w:hint="eastAsia"/>
        </w:rPr>
        <w:t>工作场所的温度、湿度、光线、噪声、空气质量符合国家相关法律法规及标准的要求；</w:t>
      </w:r>
    </w:p>
    <w:p>
      <w:pPr>
        <w:pStyle w:val="54"/>
        <w:numPr>
          <w:ilvl w:val="0"/>
          <w:numId w:val="31"/>
        </w:numPr>
      </w:pPr>
      <w:r>
        <w:rPr>
          <w:rFonts w:hint="eastAsia"/>
        </w:rPr>
        <w:t>工作场所的卫生条件符合要求；</w:t>
      </w:r>
    </w:p>
    <w:p>
      <w:pPr>
        <w:pStyle w:val="54"/>
        <w:numPr>
          <w:ilvl w:val="0"/>
          <w:numId w:val="31"/>
        </w:numPr>
      </w:pPr>
      <w:r>
        <w:rPr>
          <w:rFonts w:hint="eastAsia"/>
        </w:rPr>
        <w:t>有工作环境的日常管理与维护规范；</w:t>
      </w:r>
    </w:p>
    <w:p>
      <w:pPr>
        <w:pStyle w:val="54"/>
        <w:numPr>
          <w:ilvl w:val="0"/>
          <w:numId w:val="31"/>
        </w:numPr>
      </w:pPr>
      <w:r>
        <w:rPr>
          <w:rFonts w:hint="eastAsia"/>
        </w:rPr>
        <w:t>特色工作环境的营造与服务本身相适。</w:t>
      </w:r>
    </w:p>
    <w:p>
      <w:pPr>
        <w:pStyle w:val="82"/>
        <w:spacing w:before="156" w:after="156"/>
      </w:pPr>
      <w:bookmarkStart w:id="373" w:name="_Toc519156467"/>
      <w:r>
        <w:rPr>
          <w:rFonts w:hint="eastAsia"/>
        </w:rPr>
        <w:t>服务设施及设备</w:t>
      </w:r>
      <w:bookmarkEnd w:id="373"/>
    </w:p>
    <w:p>
      <w:pPr>
        <w:pStyle w:val="21"/>
      </w:pPr>
      <w:r>
        <w:rPr>
          <w:rFonts w:hint="eastAsia"/>
        </w:rPr>
        <w:t>服务设施及设备的评价内容包括但不限于：</w:t>
      </w:r>
    </w:p>
    <w:p>
      <w:pPr>
        <w:pStyle w:val="54"/>
        <w:numPr>
          <w:ilvl w:val="0"/>
          <w:numId w:val="32"/>
        </w:numPr>
      </w:pPr>
      <w:r>
        <w:rPr>
          <w:rFonts w:hint="eastAsia"/>
        </w:rPr>
        <w:t>服务设施设备的技术要求、安装要求、安全及卫生符合国家法律法规及标准的规定；</w:t>
      </w:r>
    </w:p>
    <w:p>
      <w:pPr>
        <w:pStyle w:val="54"/>
        <w:numPr>
          <w:ilvl w:val="0"/>
          <w:numId w:val="32"/>
        </w:numPr>
      </w:pPr>
      <w:r>
        <w:rPr>
          <w:rFonts w:hint="eastAsia"/>
        </w:rPr>
        <w:t>服务设施设备的种类、数量及布局满足服务的要求；</w:t>
      </w:r>
    </w:p>
    <w:p>
      <w:pPr>
        <w:pStyle w:val="54"/>
        <w:numPr>
          <w:ilvl w:val="0"/>
          <w:numId w:val="32"/>
        </w:numPr>
      </w:pPr>
      <w:r>
        <w:rPr>
          <w:rFonts w:hint="eastAsia"/>
        </w:rPr>
        <w:t>与承诺的服务质量相符；</w:t>
      </w:r>
    </w:p>
    <w:p>
      <w:pPr>
        <w:pStyle w:val="54"/>
        <w:numPr>
          <w:ilvl w:val="0"/>
          <w:numId w:val="32"/>
        </w:numPr>
      </w:pPr>
      <w:r>
        <w:rPr>
          <w:rFonts w:hint="eastAsia"/>
        </w:rPr>
        <w:t>制定设施设备的检查与维护频次、效果等要求；</w:t>
      </w:r>
    </w:p>
    <w:p>
      <w:pPr>
        <w:pStyle w:val="54"/>
        <w:numPr>
          <w:ilvl w:val="0"/>
          <w:numId w:val="32"/>
        </w:numPr>
      </w:pPr>
      <w:r>
        <w:rPr>
          <w:rFonts w:hint="eastAsia"/>
        </w:rPr>
        <w:t>考虑潜在服务对象的特殊需求，如：设置无障碍设施。</w:t>
      </w:r>
    </w:p>
    <w:p>
      <w:pPr>
        <w:pStyle w:val="82"/>
        <w:spacing w:before="156" w:after="156"/>
      </w:pPr>
      <w:r>
        <w:rPr>
          <w:rFonts w:hint="eastAsia"/>
        </w:rPr>
        <w:t>人员要求</w:t>
      </w:r>
    </w:p>
    <w:p>
      <w:pPr>
        <w:pStyle w:val="21"/>
      </w:pPr>
      <w:r>
        <w:rPr>
          <w:rFonts w:hint="eastAsia"/>
        </w:rPr>
        <w:t>人员要求的评价内容包括但不限于：</w:t>
      </w:r>
    </w:p>
    <w:p>
      <w:pPr>
        <w:pStyle w:val="54"/>
        <w:numPr>
          <w:ilvl w:val="0"/>
          <w:numId w:val="33"/>
        </w:numPr>
      </w:pPr>
      <w:r>
        <w:rPr>
          <w:rFonts w:hint="eastAsia"/>
        </w:rPr>
        <w:t>工作年限和具体经验等方面满足工作经验的要求；</w:t>
      </w:r>
    </w:p>
    <w:p>
      <w:pPr>
        <w:pStyle w:val="54"/>
        <w:numPr>
          <w:ilvl w:val="0"/>
          <w:numId w:val="33"/>
        </w:numPr>
      </w:pPr>
      <w:r>
        <w:rPr>
          <w:rFonts w:hint="eastAsia"/>
        </w:rPr>
        <w:t>在健康、卫生、技能等方面满足资质要求；</w:t>
      </w:r>
    </w:p>
    <w:p>
      <w:pPr>
        <w:pStyle w:val="54"/>
        <w:numPr>
          <w:ilvl w:val="0"/>
          <w:numId w:val="33"/>
        </w:numPr>
      </w:pPr>
      <w:r>
        <w:rPr>
          <w:rFonts w:hint="eastAsia"/>
        </w:rPr>
        <w:t>专业背景和学历方面满足要求；</w:t>
      </w:r>
    </w:p>
    <w:p>
      <w:pPr>
        <w:pStyle w:val="54"/>
        <w:numPr>
          <w:ilvl w:val="0"/>
          <w:numId w:val="33"/>
        </w:numPr>
      </w:pPr>
      <w:r>
        <w:rPr>
          <w:rFonts w:hint="eastAsia"/>
        </w:rPr>
        <w:t>行为、仪容仪表、礼貌周到、信息保密等方面满足服务行为及态度的要求；</w:t>
      </w:r>
    </w:p>
    <w:p>
      <w:pPr>
        <w:pStyle w:val="54"/>
        <w:numPr>
          <w:ilvl w:val="0"/>
          <w:numId w:val="33"/>
        </w:numPr>
      </w:pPr>
      <w:r>
        <w:rPr>
          <w:rFonts w:hint="eastAsia"/>
        </w:rPr>
        <w:t>参与专业培训，培训内容、时长、频次、课程设置满足服务的需求。</w:t>
      </w:r>
    </w:p>
    <w:p>
      <w:pPr>
        <w:pStyle w:val="96"/>
        <w:spacing w:before="156" w:after="156"/>
      </w:pPr>
      <w:bookmarkStart w:id="374" w:name="_Toc519156472"/>
      <w:bookmarkStart w:id="375" w:name="_Toc522179651"/>
      <w:r>
        <w:rPr>
          <w:rFonts w:hint="eastAsia"/>
        </w:rPr>
        <w:t>服务资源</w:t>
      </w:r>
      <w:bookmarkEnd w:id="374"/>
      <w:bookmarkEnd w:id="375"/>
    </w:p>
    <w:p>
      <w:pPr>
        <w:pStyle w:val="82"/>
        <w:spacing w:before="156" w:after="156"/>
      </w:pPr>
      <w:bookmarkStart w:id="376" w:name="_Toc519156473"/>
      <w:r>
        <w:rPr>
          <w:rFonts w:hint="eastAsia"/>
        </w:rPr>
        <w:t>人力资源</w:t>
      </w:r>
      <w:bookmarkEnd w:id="376"/>
    </w:p>
    <w:p>
      <w:pPr>
        <w:pStyle w:val="21"/>
      </w:pPr>
      <w:r>
        <w:rPr>
          <w:rFonts w:hint="eastAsia"/>
        </w:rPr>
        <w:t>人力资源的评价内容包括但不限于：</w:t>
      </w:r>
    </w:p>
    <w:p>
      <w:pPr>
        <w:pStyle w:val="54"/>
        <w:numPr>
          <w:ilvl w:val="0"/>
          <w:numId w:val="34"/>
        </w:numPr>
      </w:pPr>
      <w:r>
        <w:rPr>
          <w:rFonts w:hint="eastAsia"/>
        </w:rPr>
        <w:t>全职工作人员数量；</w:t>
      </w:r>
    </w:p>
    <w:p>
      <w:pPr>
        <w:pStyle w:val="54"/>
        <w:numPr>
          <w:ilvl w:val="0"/>
          <w:numId w:val="34"/>
        </w:numPr>
      </w:pPr>
      <w:r>
        <w:rPr>
          <w:rFonts w:hint="eastAsia"/>
        </w:rPr>
        <w:t>理事人数；</w:t>
      </w:r>
    </w:p>
    <w:p>
      <w:pPr>
        <w:pStyle w:val="54"/>
        <w:numPr>
          <w:ilvl w:val="0"/>
          <w:numId w:val="34"/>
        </w:numPr>
      </w:pPr>
      <w:r>
        <w:rPr>
          <w:rFonts w:hint="eastAsia"/>
        </w:rPr>
        <w:t>统计周期内参加活动的志愿者人数；</w:t>
      </w:r>
      <w:r>
        <w:t xml:space="preserve"> </w:t>
      </w:r>
    </w:p>
    <w:p>
      <w:pPr>
        <w:pStyle w:val="82"/>
        <w:spacing w:before="156" w:after="156"/>
      </w:pPr>
      <w:bookmarkStart w:id="377" w:name="_Toc519156474"/>
      <w:r>
        <w:rPr>
          <w:rFonts w:hint="eastAsia"/>
        </w:rPr>
        <w:t>物质资源</w:t>
      </w:r>
      <w:bookmarkEnd w:id="377"/>
    </w:p>
    <w:p>
      <w:pPr>
        <w:pStyle w:val="21"/>
      </w:pPr>
      <w:r>
        <w:rPr>
          <w:rFonts w:hint="eastAsia"/>
        </w:rPr>
        <w:t>物质资源的评价内容包括但不限于：</w:t>
      </w:r>
    </w:p>
    <w:p>
      <w:pPr>
        <w:pStyle w:val="54"/>
        <w:numPr>
          <w:ilvl w:val="0"/>
          <w:numId w:val="35"/>
        </w:numPr>
      </w:pPr>
      <w:r>
        <w:rPr>
          <w:rFonts w:hint="eastAsia"/>
        </w:rPr>
        <w:t>志愿服务资金总额；</w:t>
      </w:r>
    </w:p>
    <w:p>
      <w:pPr>
        <w:pStyle w:val="54"/>
        <w:numPr>
          <w:ilvl w:val="0"/>
          <w:numId w:val="35"/>
        </w:numPr>
      </w:pPr>
      <w:r>
        <w:rPr>
          <w:rFonts w:hint="eastAsia"/>
        </w:rPr>
        <w:t>实物资产金额；</w:t>
      </w:r>
    </w:p>
    <w:p>
      <w:pPr>
        <w:pStyle w:val="96"/>
        <w:spacing w:before="156" w:after="156"/>
      </w:pPr>
      <w:bookmarkStart w:id="378" w:name="_Toc519156476"/>
      <w:bookmarkStart w:id="379" w:name="_Toc522179652"/>
      <w:r>
        <w:rPr>
          <w:rFonts w:hint="eastAsia"/>
        </w:rPr>
        <w:t>服务能力</w:t>
      </w:r>
    </w:p>
    <w:p>
      <w:pPr>
        <w:pStyle w:val="82"/>
        <w:spacing w:before="156" w:after="156"/>
      </w:pPr>
      <w:r>
        <w:rPr>
          <w:rFonts w:hint="eastAsia"/>
        </w:rPr>
        <w:t>志愿服务活动</w:t>
      </w:r>
    </w:p>
    <w:p>
      <w:pPr>
        <w:pStyle w:val="21"/>
      </w:pPr>
      <w:r>
        <w:rPr>
          <w:rFonts w:hint="eastAsia"/>
        </w:rPr>
        <w:t>志愿服务活动的评价内容包括但不限于：</w:t>
      </w:r>
    </w:p>
    <w:p>
      <w:pPr>
        <w:pStyle w:val="54"/>
        <w:numPr>
          <w:ilvl w:val="0"/>
          <w:numId w:val="36"/>
        </w:numPr>
      </w:pPr>
      <w:r>
        <w:rPr>
          <w:rFonts w:hint="eastAsia"/>
        </w:rPr>
        <w:t>本年度参与志愿服务项目的个数；</w:t>
      </w:r>
    </w:p>
    <w:p>
      <w:pPr>
        <w:pStyle w:val="54"/>
        <w:numPr>
          <w:ilvl w:val="0"/>
          <w:numId w:val="36"/>
        </w:numPr>
      </w:pPr>
      <w:r>
        <w:rPr>
          <w:rFonts w:hint="eastAsia"/>
        </w:rPr>
        <w:t>本年度参与志愿服务活动的次数；</w:t>
      </w:r>
    </w:p>
    <w:p>
      <w:pPr>
        <w:pStyle w:val="54"/>
        <w:numPr>
          <w:ilvl w:val="0"/>
          <w:numId w:val="36"/>
        </w:numPr>
      </w:pPr>
      <w:r>
        <w:rPr>
          <w:rFonts w:hint="eastAsia"/>
        </w:rPr>
        <w:t>本年度志愿服务活动的服务总人次；</w:t>
      </w:r>
    </w:p>
    <w:p>
      <w:pPr>
        <w:pStyle w:val="54"/>
        <w:numPr>
          <w:ilvl w:val="0"/>
          <w:numId w:val="36"/>
        </w:numPr>
      </w:pPr>
      <w:r>
        <w:rPr>
          <w:rFonts w:hint="eastAsia"/>
        </w:rPr>
        <w:t>本年度志愿服务总时长；</w:t>
      </w:r>
      <w:r>
        <w:t xml:space="preserve"> </w:t>
      </w:r>
    </w:p>
    <w:p>
      <w:pPr>
        <w:pStyle w:val="54"/>
        <w:numPr>
          <w:ilvl w:val="0"/>
          <w:numId w:val="36"/>
        </w:numPr>
      </w:pPr>
      <w:r>
        <w:rPr>
          <w:rFonts w:hint="eastAsia"/>
        </w:rPr>
        <w:t>本年度人均服务时长；</w:t>
      </w:r>
    </w:p>
    <w:p>
      <w:pPr>
        <w:pStyle w:val="54"/>
        <w:numPr>
          <w:ilvl w:val="0"/>
          <w:numId w:val="36"/>
        </w:numPr>
      </w:pPr>
      <w:r>
        <w:rPr>
          <w:rFonts w:hint="eastAsia"/>
        </w:rPr>
        <w:t>本年度志愿者贡献价值。</w:t>
      </w:r>
    </w:p>
    <w:p>
      <w:pPr>
        <w:pStyle w:val="82"/>
        <w:spacing w:before="156" w:after="156"/>
      </w:pPr>
      <w:r>
        <w:rPr>
          <w:rFonts w:hint="eastAsia"/>
        </w:rPr>
        <w:t>志愿者培训</w:t>
      </w:r>
    </w:p>
    <w:p>
      <w:pPr>
        <w:pStyle w:val="21"/>
      </w:pPr>
      <w:r>
        <w:rPr>
          <w:rFonts w:hint="eastAsia"/>
        </w:rPr>
        <w:t>志愿者培训的评价内容包括但不限于：</w:t>
      </w:r>
    </w:p>
    <w:p>
      <w:pPr>
        <w:pStyle w:val="54"/>
        <w:numPr>
          <w:ilvl w:val="0"/>
          <w:numId w:val="37"/>
        </w:numPr>
      </w:pPr>
      <w:r>
        <w:rPr>
          <w:rFonts w:hint="eastAsia"/>
        </w:rPr>
        <w:t>本年度培训的志愿者总人数；</w:t>
      </w:r>
    </w:p>
    <w:p>
      <w:pPr>
        <w:pStyle w:val="54"/>
        <w:numPr>
          <w:ilvl w:val="0"/>
          <w:numId w:val="37"/>
        </w:numPr>
      </w:pPr>
      <w:r>
        <w:rPr>
          <w:rFonts w:hint="eastAsia"/>
        </w:rPr>
        <w:t>本年度志愿者培训的平均小时数；</w:t>
      </w:r>
    </w:p>
    <w:p>
      <w:pPr>
        <w:pStyle w:val="54"/>
        <w:numPr>
          <w:ilvl w:val="0"/>
          <w:numId w:val="37"/>
        </w:numPr>
      </w:pPr>
      <w:r>
        <w:rPr>
          <w:rFonts w:hint="eastAsia"/>
        </w:rPr>
        <w:t>培训的内容、方式与将要开展的志愿服务活动相符性；</w:t>
      </w:r>
    </w:p>
    <w:p>
      <w:pPr>
        <w:pStyle w:val="54"/>
        <w:numPr>
          <w:ilvl w:val="0"/>
          <w:numId w:val="37"/>
        </w:numPr>
      </w:pPr>
      <w:r>
        <w:rPr>
          <w:rFonts w:hint="eastAsia"/>
        </w:rPr>
        <w:t>本年度志愿者培训费用占总费用的比重。</w:t>
      </w:r>
    </w:p>
    <w:p>
      <w:pPr>
        <w:pStyle w:val="96"/>
        <w:spacing w:before="156" w:after="156"/>
      </w:pPr>
      <w:r>
        <w:rPr>
          <w:rFonts w:hint="eastAsia"/>
        </w:rPr>
        <w:t>服务机制</w:t>
      </w:r>
      <w:bookmarkEnd w:id="378"/>
      <w:bookmarkEnd w:id="379"/>
    </w:p>
    <w:p>
      <w:pPr>
        <w:pStyle w:val="82"/>
        <w:spacing w:before="156" w:after="156"/>
      </w:pPr>
      <w:bookmarkStart w:id="380" w:name="_Toc519156477"/>
      <w:r>
        <w:rPr>
          <w:rFonts w:hint="eastAsia"/>
        </w:rPr>
        <w:t>服务过程管理机制</w:t>
      </w:r>
      <w:bookmarkEnd w:id="380"/>
    </w:p>
    <w:p>
      <w:pPr>
        <w:pStyle w:val="21"/>
      </w:pPr>
      <w:r>
        <w:rPr>
          <w:rFonts w:hint="eastAsia"/>
        </w:rPr>
        <w:t>服务过程管理机制的评价内容包括但不限于：</w:t>
      </w:r>
    </w:p>
    <w:p>
      <w:pPr>
        <w:pStyle w:val="54"/>
        <w:numPr>
          <w:ilvl w:val="0"/>
          <w:numId w:val="38"/>
        </w:numPr>
      </w:pPr>
      <w:r>
        <w:rPr>
          <w:rFonts w:hint="eastAsia"/>
        </w:rPr>
        <w:t>根据志愿服务项目，制定工作规划；</w:t>
      </w:r>
    </w:p>
    <w:p>
      <w:pPr>
        <w:pStyle w:val="54"/>
        <w:numPr>
          <w:ilvl w:val="0"/>
          <w:numId w:val="38"/>
        </w:numPr>
      </w:pPr>
      <w:r>
        <w:rPr>
          <w:rFonts w:hint="eastAsia"/>
        </w:rPr>
        <w:t>招募志愿者时，应说明与志愿服务有关的真实、准确、完整的信息以及在志愿服务过程中可能发生的风险；</w:t>
      </w:r>
    </w:p>
    <w:p>
      <w:pPr>
        <w:pStyle w:val="54"/>
        <w:numPr>
          <w:ilvl w:val="0"/>
          <w:numId w:val="38"/>
        </w:numPr>
      </w:pPr>
      <w:r>
        <w:rPr>
          <w:rFonts w:hint="eastAsia"/>
        </w:rPr>
        <w:t>与志愿服务组织单位签订协议或当开展可能发生人身危险的志愿服务前与志愿者签订协议，明确当事人的权利和义务，约定志愿服务的内容、方式、时间、地点、工作条件和安全保障措施等；</w:t>
      </w:r>
    </w:p>
    <w:p>
      <w:pPr>
        <w:pStyle w:val="54"/>
        <w:numPr>
          <w:ilvl w:val="0"/>
          <w:numId w:val="38"/>
        </w:numPr>
      </w:pPr>
      <w:r>
        <w:rPr>
          <w:rFonts w:hint="eastAsia"/>
        </w:rPr>
        <w:t>如实记录志愿者个人基本信息、志愿服务情况、培训情况、表彰奖励情况、评价情况等信息；</w:t>
      </w:r>
    </w:p>
    <w:p>
      <w:pPr>
        <w:pStyle w:val="54"/>
        <w:numPr>
          <w:ilvl w:val="0"/>
          <w:numId w:val="38"/>
        </w:numPr>
      </w:pPr>
      <w:r>
        <w:rPr>
          <w:rFonts w:hint="eastAsia"/>
        </w:rPr>
        <w:t>按时将志愿服务信息录入主管部门指定的志愿服务信息系统；</w:t>
      </w:r>
    </w:p>
    <w:p>
      <w:pPr>
        <w:pStyle w:val="54"/>
        <w:numPr>
          <w:ilvl w:val="0"/>
          <w:numId w:val="38"/>
        </w:numPr>
      </w:pPr>
      <w:r>
        <w:rPr>
          <w:rFonts w:hint="eastAsia"/>
        </w:rPr>
        <w:t>能够根据志愿服务需求，安排具有相关技能、专业知识等能力的志愿者进行服务；</w:t>
      </w:r>
    </w:p>
    <w:p>
      <w:pPr>
        <w:pStyle w:val="54"/>
        <w:numPr>
          <w:ilvl w:val="0"/>
          <w:numId w:val="38"/>
        </w:numPr>
      </w:pPr>
      <w:r>
        <w:rPr>
          <w:rFonts w:hint="eastAsia"/>
        </w:rPr>
        <w:t>能够根据志愿者的年龄、知识、技能和身体状况等，安排相应的志愿服务；</w:t>
      </w:r>
    </w:p>
    <w:p>
      <w:pPr>
        <w:pStyle w:val="54"/>
        <w:numPr>
          <w:ilvl w:val="0"/>
          <w:numId w:val="38"/>
        </w:numPr>
      </w:pPr>
      <w:r>
        <w:rPr>
          <w:rFonts w:hint="eastAsia"/>
        </w:rPr>
        <w:t>不应擅自更改服务内容、降低服务质量或终止服务活动。</w:t>
      </w:r>
    </w:p>
    <w:p>
      <w:pPr>
        <w:pStyle w:val="82"/>
        <w:spacing w:before="156" w:after="156"/>
      </w:pPr>
      <w:bookmarkStart w:id="381" w:name="_Toc519156478"/>
      <w:r>
        <w:rPr>
          <w:rFonts w:hint="eastAsia"/>
        </w:rPr>
        <w:t>服务制度管理机制</w:t>
      </w:r>
      <w:bookmarkEnd w:id="381"/>
    </w:p>
    <w:p>
      <w:pPr>
        <w:pStyle w:val="43"/>
        <w:numPr>
          <w:ilvl w:val="0"/>
          <w:numId w:val="0"/>
        </w:numPr>
        <w:ind w:left="833" w:hanging="408"/>
      </w:pPr>
      <w:r>
        <w:rPr>
          <w:rFonts w:hint="eastAsia"/>
        </w:rPr>
        <w:t>服务制度管理机制的评价内容包括但不限于：</w:t>
      </w:r>
    </w:p>
    <w:p>
      <w:pPr>
        <w:pStyle w:val="54"/>
        <w:numPr>
          <w:ilvl w:val="0"/>
          <w:numId w:val="39"/>
        </w:numPr>
      </w:pPr>
      <w:r>
        <w:rPr>
          <w:rFonts w:hint="eastAsia"/>
        </w:rPr>
        <w:t>制定志愿服务流程；</w:t>
      </w:r>
    </w:p>
    <w:p>
      <w:pPr>
        <w:pStyle w:val="54"/>
        <w:numPr>
          <w:ilvl w:val="0"/>
          <w:numId w:val="39"/>
        </w:numPr>
      </w:pPr>
      <w:r>
        <w:rPr>
          <w:rFonts w:hint="eastAsia"/>
        </w:rPr>
        <w:t>制定志愿服务项目及补贴标准；</w:t>
      </w:r>
    </w:p>
    <w:p>
      <w:pPr>
        <w:pStyle w:val="54"/>
        <w:numPr>
          <w:ilvl w:val="0"/>
          <w:numId w:val="39"/>
        </w:numPr>
      </w:pPr>
      <w:r>
        <w:rPr>
          <w:rFonts w:hint="eastAsia"/>
        </w:rPr>
        <w:t>制定志愿服务记录及质量控制制度；</w:t>
      </w:r>
    </w:p>
    <w:p>
      <w:pPr>
        <w:pStyle w:val="54"/>
        <w:numPr>
          <w:ilvl w:val="0"/>
          <w:numId w:val="39"/>
        </w:numPr>
      </w:pPr>
      <w:r>
        <w:rPr>
          <w:rFonts w:hint="eastAsia"/>
        </w:rPr>
        <w:t>制定志愿服务安全及风险规避制度；</w:t>
      </w:r>
    </w:p>
    <w:p>
      <w:pPr>
        <w:pStyle w:val="54"/>
        <w:numPr>
          <w:ilvl w:val="0"/>
          <w:numId w:val="39"/>
        </w:numPr>
      </w:pPr>
      <w:r>
        <w:rPr>
          <w:rFonts w:hint="eastAsia"/>
        </w:rPr>
        <w:t>制定日常全管理和突发事件应急管理要求；</w:t>
      </w:r>
    </w:p>
    <w:p>
      <w:pPr>
        <w:pStyle w:val="54"/>
        <w:numPr>
          <w:ilvl w:val="0"/>
          <w:numId w:val="39"/>
        </w:numPr>
      </w:pPr>
      <w:r>
        <w:rPr>
          <w:rFonts w:hint="eastAsia"/>
        </w:rPr>
        <w:t>制定志愿者招募、培训、奖惩及辞退制度；</w:t>
      </w:r>
    </w:p>
    <w:p>
      <w:pPr>
        <w:pStyle w:val="54"/>
        <w:numPr>
          <w:ilvl w:val="0"/>
          <w:numId w:val="39"/>
        </w:numPr>
      </w:pPr>
      <w:r>
        <w:rPr>
          <w:rFonts w:hint="eastAsia"/>
        </w:rPr>
        <w:t>制定人员岗位职责、绩效考核制度等；</w:t>
      </w:r>
    </w:p>
    <w:p>
      <w:pPr>
        <w:pStyle w:val="54"/>
        <w:numPr>
          <w:ilvl w:val="0"/>
          <w:numId w:val="39"/>
        </w:numPr>
      </w:pPr>
      <w:r>
        <w:rPr>
          <w:rFonts w:hint="eastAsia"/>
        </w:rPr>
        <w:t>制定志愿者星级认定和志愿服务时长记录制度等。</w:t>
      </w:r>
    </w:p>
    <w:p>
      <w:pPr>
        <w:pStyle w:val="82"/>
        <w:spacing w:before="156" w:after="156"/>
      </w:pPr>
      <w:bookmarkStart w:id="382" w:name="_Toc519156479"/>
      <w:r>
        <w:rPr>
          <w:rFonts w:hint="eastAsia"/>
        </w:rPr>
        <w:t>服务能力保障机制</w:t>
      </w:r>
      <w:bookmarkEnd w:id="382"/>
    </w:p>
    <w:p>
      <w:pPr>
        <w:pStyle w:val="43"/>
        <w:numPr>
          <w:ilvl w:val="0"/>
          <w:numId w:val="0"/>
        </w:numPr>
        <w:ind w:left="833" w:hanging="408"/>
      </w:pPr>
      <w:r>
        <w:rPr>
          <w:rFonts w:hint="eastAsia"/>
        </w:rPr>
        <w:t>服务能力保障机制的评价内容包括但不限于：</w:t>
      </w:r>
    </w:p>
    <w:p>
      <w:pPr>
        <w:pStyle w:val="54"/>
        <w:numPr>
          <w:ilvl w:val="0"/>
          <w:numId w:val="40"/>
        </w:numPr>
      </w:pPr>
      <w:r>
        <w:rPr>
          <w:rFonts w:hint="eastAsia"/>
        </w:rPr>
        <w:t>帮助志愿者在全国志愿服务信息系统注册；</w:t>
      </w:r>
      <w:r>
        <w:t xml:space="preserve"> </w:t>
      </w:r>
    </w:p>
    <w:p>
      <w:pPr>
        <w:pStyle w:val="54"/>
        <w:numPr>
          <w:ilvl w:val="0"/>
          <w:numId w:val="40"/>
        </w:numPr>
      </w:pPr>
      <w:r>
        <w:rPr>
          <w:rFonts w:hint="eastAsia"/>
        </w:rPr>
        <w:t>定期开展志愿服务培训工作；</w:t>
      </w:r>
    </w:p>
    <w:p>
      <w:pPr>
        <w:pStyle w:val="54"/>
        <w:numPr>
          <w:ilvl w:val="0"/>
          <w:numId w:val="40"/>
        </w:numPr>
      </w:pPr>
      <w:r>
        <w:rPr>
          <w:rFonts w:hint="eastAsia"/>
        </w:rPr>
        <w:t>根据特定志愿服务需求，开展针对性的岗前培训；</w:t>
      </w:r>
    </w:p>
    <w:p>
      <w:pPr>
        <w:pStyle w:val="54"/>
        <w:numPr>
          <w:ilvl w:val="0"/>
          <w:numId w:val="40"/>
        </w:numPr>
      </w:pPr>
      <w:r>
        <w:rPr>
          <w:rFonts w:hint="eastAsia"/>
        </w:rPr>
        <w:t>为志愿者参与志愿服务活动提供必要条件，解决志愿者在志愿服务过程中遇到的困难，维护志愿者的合法权益；</w:t>
      </w:r>
    </w:p>
    <w:p>
      <w:pPr>
        <w:pStyle w:val="54"/>
        <w:numPr>
          <w:ilvl w:val="0"/>
          <w:numId w:val="40"/>
        </w:numPr>
      </w:pPr>
      <w:r>
        <w:rPr>
          <w:rFonts w:hint="eastAsia"/>
        </w:rPr>
        <w:t>参与可能发生人身危险的志愿服务活动前，为志愿者购买相应的人身意外伤害保险；</w:t>
      </w:r>
    </w:p>
    <w:p>
      <w:pPr>
        <w:pStyle w:val="54"/>
        <w:numPr>
          <w:ilvl w:val="0"/>
          <w:numId w:val="40"/>
        </w:numPr>
      </w:pPr>
      <w:r>
        <w:rPr>
          <w:rFonts w:hint="eastAsia"/>
        </w:rPr>
        <w:t>具有自己的网站、公众号或其他对外媒体社交平台。</w:t>
      </w:r>
    </w:p>
    <w:p>
      <w:pPr>
        <w:pStyle w:val="82"/>
        <w:spacing w:before="156" w:after="156"/>
      </w:pPr>
      <w:bookmarkStart w:id="383" w:name="_Toc519156480"/>
      <w:r>
        <w:rPr>
          <w:rFonts w:hint="eastAsia"/>
        </w:rPr>
        <w:t>投诉处理与改进机制</w:t>
      </w:r>
      <w:bookmarkEnd w:id="383"/>
    </w:p>
    <w:p>
      <w:pPr>
        <w:pStyle w:val="43"/>
        <w:numPr>
          <w:ilvl w:val="0"/>
          <w:numId w:val="0"/>
        </w:numPr>
        <w:ind w:left="833" w:hanging="408"/>
      </w:pPr>
      <w:r>
        <w:rPr>
          <w:rFonts w:hint="eastAsia"/>
        </w:rPr>
        <w:t>投诉处理与改进机制的评价内容包括但不限于：</w:t>
      </w:r>
    </w:p>
    <w:p>
      <w:pPr>
        <w:pStyle w:val="54"/>
        <w:numPr>
          <w:ilvl w:val="0"/>
          <w:numId w:val="41"/>
        </w:numPr>
      </w:pPr>
      <w:r>
        <w:rPr>
          <w:rFonts w:hint="eastAsia"/>
        </w:rPr>
        <w:t>为公众提供投诉处理和意见反馈的程序；</w:t>
      </w:r>
    </w:p>
    <w:p>
      <w:pPr>
        <w:pStyle w:val="54"/>
        <w:numPr>
          <w:ilvl w:val="0"/>
          <w:numId w:val="41"/>
        </w:numPr>
      </w:pPr>
      <w:r>
        <w:rPr>
          <w:rFonts w:hint="eastAsia"/>
        </w:rPr>
        <w:t>定期评估、处理投诉和意见反馈，并有纠正、预防性措施；</w:t>
      </w:r>
    </w:p>
    <w:p>
      <w:pPr>
        <w:pStyle w:val="54"/>
        <w:numPr>
          <w:ilvl w:val="0"/>
          <w:numId w:val="41"/>
        </w:numPr>
      </w:pPr>
      <w:r>
        <w:rPr>
          <w:rFonts w:hint="eastAsia"/>
        </w:rPr>
        <w:t>有人员专责处理投诉和意见反馈；</w:t>
      </w:r>
    </w:p>
    <w:p>
      <w:pPr>
        <w:pStyle w:val="54"/>
        <w:numPr>
          <w:ilvl w:val="0"/>
          <w:numId w:val="41"/>
        </w:numPr>
      </w:pPr>
      <w:r>
        <w:rPr>
          <w:rFonts w:hint="eastAsia"/>
        </w:rPr>
        <w:t>投诉处理的结果记录；</w:t>
      </w:r>
    </w:p>
    <w:p>
      <w:pPr>
        <w:pStyle w:val="54"/>
        <w:numPr>
          <w:ilvl w:val="0"/>
          <w:numId w:val="41"/>
        </w:numPr>
      </w:pPr>
      <w:r>
        <w:rPr>
          <w:rFonts w:hint="eastAsia"/>
        </w:rPr>
        <w:t>投诉处理的时间记录。</w:t>
      </w:r>
    </w:p>
    <w:p>
      <w:pPr>
        <w:pStyle w:val="82"/>
        <w:spacing w:before="156" w:after="156"/>
      </w:pPr>
      <w:bookmarkStart w:id="384" w:name="_Toc519156481"/>
      <w:r>
        <w:rPr>
          <w:rFonts w:hint="eastAsia"/>
        </w:rPr>
        <w:t>服务激励机制</w:t>
      </w:r>
      <w:bookmarkEnd w:id="384"/>
    </w:p>
    <w:p>
      <w:pPr>
        <w:pStyle w:val="43"/>
        <w:numPr>
          <w:ilvl w:val="0"/>
          <w:numId w:val="0"/>
        </w:numPr>
        <w:ind w:left="833" w:hanging="408"/>
      </w:pPr>
      <w:r>
        <w:rPr>
          <w:rFonts w:hint="eastAsia"/>
        </w:rPr>
        <w:t>服务激励机制的评价内容包括但不限于：</w:t>
      </w:r>
    </w:p>
    <w:p>
      <w:pPr>
        <w:pStyle w:val="54"/>
        <w:numPr>
          <w:ilvl w:val="0"/>
          <w:numId w:val="42"/>
        </w:numPr>
      </w:pPr>
      <w:r>
        <w:rPr>
          <w:rFonts w:hint="eastAsia"/>
        </w:rPr>
        <w:t>志愿者服务记录或积分；</w:t>
      </w:r>
    </w:p>
    <w:p>
      <w:pPr>
        <w:pStyle w:val="54"/>
        <w:numPr>
          <w:ilvl w:val="0"/>
          <w:numId w:val="42"/>
        </w:numPr>
      </w:pPr>
      <w:r>
        <w:rPr>
          <w:rFonts w:hint="eastAsia"/>
        </w:rPr>
        <w:t>适量的物质补贴；</w:t>
      </w:r>
    </w:p>
    <w:p>
      <w:pPr>
        <w:pStyle w:val="54"/>
        <w:numPr>
          <w:ilvl w:val="0"/>
          <w:numId w:val="42"/>
        </w:numPr>
      </w:pPr>
      <w:r>
        <w:rPr>
          <w:rFonts w:hint="eastAsia"/>
        </w:rPr>
        <w:t>健康安全保障；</w:t>
      </w:r>
    </w:p>
    <w:p>
      <w:pPr>
        <w:pStyle w:val="54"/>
        <w:numPr>
          <w:ilvl w:val="0"/>
          <w:numId w:val="42"/>
        </w:numPr>
      </w:pPr>
      <w:r>
        <w:rPr>
          <w:rFonts w:hint="eastAsia"/>
        </w:rPr>
        <w:t>定期进行表彰、奖励；</w:t>
      </w:r>
    </w:p>
    <w:p>
      <w:pPr>
        <w:pStyle w:val="54"/>
        <w:numPr>
          <w:ilvl w:val="0"/>
          <w:numId w:val="42"/>
        </w:numPr>
      </w:pPr>
      <w:r>
        <w:rPr>
          <w:rFonts w:hint="eastAsia"/>
        </w:rPr>
        <w:t>荣誉称号等精神奖励。</w:t>
      </w:r>
    </w:p>
    <w:p>
      <w:pPr>
        <w:pStyle w:val="96"/>
        <w:spacing w:before="156" w:after="156"/>
      </w:pPr>
      <w:bookmarkStart w:id="385" w:name="_Toc522179653"/>
      <w:bookmarkEnd w:id="385"/>
      <w:bookmarkStart w:id="386" w:name="_Toc522179654"/>
      <w:bookmarkEnd w:id="386"/>
      <w:bookmarkStart w:id="387" w:name="_Toc522179655"/>
      <w:bookmarkEnd w:id="387"/>
      <w:bookmarkStart w:id="388" w:name="_Toc522179656"/>
      <w:bookmarkEnd w:id="388"/>
      <w:bookmarkStart w:id="389" w:name="_Toc522179657"/>
      <w:bookmarkEnd w:id="389"/>
      <w:bookmarkStart w:id="390" w:name="_Toc522179658"/>
      <w:bookmarkEnd w:id="390"/>
      <w:bookmarkStart w:id="391" w:name="_Toc522179659"/>
      <w:bookmarkEnd w:id="391"/>
      <w:bookmarkStart w:id="392" w:name="_Toc522179660"/>
      <w:bookmarkEnd w:id="392"/>
      <w:bookmarkStart w:id="393" w:name="_Toc522179661"/>
      <w:bookmarkEnd w:id="393"/>
      <w:bookmarkStart w:id="394" w:name="_Toc522179662"/>
      <w:bookmarkEnd w:id="394"/>
      <w:bookmarkStart w:id="395" w:name="_Toc522179663"/>
      <w:bookmarkEnd w:id="395"/>
      <w:bookmarkStart w:id="396" w:name="_Toc522179664"/>
      <w:bookmarkEnd w:id="396"/>
      <w:bookmarkStart w:id="397" w:name="_Toc522179665"/>
      <w:bookmarkEnd w:id="397"/>
      <w:bookmarkStart w:id="398" w:name="_Toc522179666"/>
      <w:bookmarkEnd w:id="398"/>
      <w:bookmarkStart w:id="399" w:name="_Toc519156485"/>
      <w:bookmarkStart w:id="400" w:name="_Toc522179667"/>
      <w:r>
        <w:rPr>
          <w:rFonts w:hint="eastAsia"/>
        </w:rPr>
        <w:t>服务效果</w:t>
      </w:r>
      <w:bookmarkEnd w:id="399"/>
      <w:bookmarkEnd w:id="400"/>
    </w:p>
    <w:p>
      <w:pPr>
        <w:pStyle w:val="82"/>
        <w:spacing w:before="156" w:after="156"/>
      </w:pPr>
      <w:bookmarkStart w:id="401" w:name="_Toc519156486"/>
      <w:r>
        <w:rPr>
          <w:rFonts w:hint="eastAsia"/>
        </w:rPr>
        <w:t>总体效果</w:t>
      </w:r>
      <w:bookmarkEnd w:id="401"/>
    </w:p>
    <w:p>
      <w:pPr>
        <w:pStyle w:val="21"/>
      </w:pPr>
      <w:r>
        <w:rPr>
          <w:rFonts w:hint="eastAsia"/>
        </w:rPr>
        <w:t>总体效果的评价内容包括但不限于：</w:t>
      </w:r>
    </w:p>
    <w:p>
      <w:pPr>
        <w:pStyle w:val="54"/>
        <w:numPr>
          <w:ilvl w:val="0"/>
          <w:numId w:val="43"/>
        </w:numPr>
      </w:pPr>
      <w:r>
        <w:rPr>
          <w:rFonts w:hint="eastAsia"/>
        </w:rPr>
        <w:t>服务人数占目标对象总人数的比重；</w:t>
      </w:r>
    </w:p>
    <w:p>
      <w:pPr>
        <w:pStyle w:val="54"/>
        <w:numPr>
          <w:ilvl w:val="0"/>
          <w:numId w:val="43"/>
        </w:numPr>
      </w:pPr>
      <w:r>
        <w:rPr>
          <w:rFonts w:hint="eastAsia"/>
        </w:rPr>
        <w:t>接受服务后受助者状况的改善程度；</w:t>
      </w:r>
    </w:p>
    <w:p>
      <w:pPr>
        <w:pStyle w:val="54"/>
        <w:numPr>
          <w:ilvl w:val="0"/>
          <w:numId w:val="43"/>
        </w:numPr>
      </w:pPr>
      <w:r>
        <w:rPr>
          <w:rFonts w:hint="eastAsia"/>
        </w:rPr>
        <w:t>服务质量满意度测评达到90%以上；</w:t>
      </w:r>
    </w:p>
    <w:p>
      <w:pPr>
        <w:pStyle w:val="54"/>
        <w:numPr>
          <w:ilvl w:val="0"/>
          <w:numId w:val="43"/>
        </w:numPr>
      </w:pPr>
      <w:r>
        <w:rPr>
          <w:rFonts w:hint="eastAsia"/>
        </w:rPr>
        <w:t>无非正常死亡等安全责任事故发生。</w:t>
      </w:r>
    </w:p>
    <w:p>
      <w:pPr>
        <w:pStyle w:val="82"/>
        <w:spacing w:before="156" w:after="156"/>
      </w:pPr>
      <w:bookmarkStart w:id="402" w:name="_Toc519156488"/>
      <w:r>
        <w:rPr>
          <w:rFonts w:hint="eastAsia"/>
        </w:rPr>
        <w:t>志愿者认同</w:t>
      </w:r>
      <w:bookmarkEnd w:id="402"/>
    </w:p>
    <w:p>
      <w:pPr>
        <w:pStyle w:val="21"/>
      </w:pPr>
      <w:r>
        <w:rPr>
          <w:rFonts w:hint="eastAsia"/>
        </w:rPr>
        <w:t xml:space="preserve">志愿者认同的评价内容包括但不限于： </w:t>
      </w:r>
    </w:p>
    <w:p>
      <w:pPr>
        <w:pStyle w:val="54"/>
        <w:numPr>
          <w:ilvl w:val="0"/>
          <w:numId w:val="44"/>
        </w:numPr>
      </w:pPr>
      <w:r>
        <w:rPr>
          <w:rFonts w:hint="eastAsia"/>
        </w:rPr>
        <w:t>志愿者对服务项目的满意率；</w:t>
      </w:r>
    </w:p>
    <w:p>
      <w:pPr>
        <w:pStyle w:val="54"/>
        <w:numPr>
          <w:ilvl w:val="0"/>
          <w:numId w:val="44"/>
        </w:numPr>
      </w:pPr>
      <w:r>
        <w:rPr>
          <w:rFonts w:hint="eastAsia"/>
        </w:rPr>
        <w:t>志愿者对志愿服务组织的满意率；</w:t>
      </w:r>
    </w:p>
    <w:p>
      <w:pPr>
        <w:pStyle w:val="54"/>
        <w:numPr>
          <w:ilvl w:val="0"/>
          <w:numId w:val="44"/>
        </w:numPr>
      </w:pPr>
      <w:r>
        <w:rPr>
          <w:rFonts w:hint="eastAsia"/>
        </w:rPr>
        <w:t>志愿者对组织发展机会的满意率；</w:t>
      </w:r>
    </w:p>
    <w:p>
      <w:pPr>
        <w:pStyle w:val="54"/>
        <w:numPr>
          <w:ilvl w:val="0"/>
          <w:numId w:val="44"/>
        </w:numPr>
      </w:pPr>
      <w:r>
        <w:rPr>
          <w:rFonts w:hint="eastAsia"/>
        </w:rPr>
        <w:t>志愿服务组织的志愿者流失率；</w:t>
      </w:r>
    </w:p>
    <w:p>
      <w:pPr>
        <w:pStyle w:val="54"/>
        <w:numPr>
          <w:ilvl w:val="0"/>
          <w:numId w:val="44"/>
        </w:numPr>
      </w:pPr>
      <w:r>
        <w:rPr>
          <w:rFonts w:hint="eastAsia"/>
        </w:rPr>
        <w:t>志愿者的投诉率；</w:t>
      </w:r>
    </w:p>
    <w:p>
      <w:pPr>
        <w:pStyle w:val="82"/>
        <w:spacing w:before="156" w:after="156"/>
      </w:pPr>
      <w:bookmarkStart w:id="403" w:name="_Toc519156487"/>
      <w:r>
        <w:rPr>
          <w:rFonts w:hint="eastAsia"/>
        </w:rPr>
        <w:t>服务对象认同</w:t>
      </w:r>
      <w:bookmarkEnd w:id="403"/>
    </w:p>
    <w:p>
      <w:pPr>
        <w:pStyle w:val="21"/>
      </w:pPr>
      <w:r>
        <w:rPr>
          <w:rFonts w:hint="eastAsia"/>
        </w:rPr>
        <w:t>服务对象认同的评价内容包括但不限于：</w:t>
      </w:r>
    </w:p>
    <w:p>
      <w:pPr>
        <w:pStyle w:val="54"/>
        <w:numPr>
          <w:ilvl w:val="0"/>
          <w:numId w:val="45"/>
        </w:numPr>
      </w:pPr>
      <w:r>
        <w:rPr>
          <w:rFonts w:hint="eastAsia"/>
        </w:rPr>
        <w:t>服务对象接受率；</w:t>
      </w:r>
    </w:p>
    <w:p>
      <w:pPr>
        <w:pStyle w:val="54"/>
        <w:numPr>
          <w:ilvl w:val="0"/>
          <w:numId w:val="45"/>
        </w:numPr>
      </w:pPr>
      <w:r>
        <w:rPr>
          <w:rFonts w:hint="eastAsia"/>
        </w:rPr>
        <w:t>服务对象满意率；</w:t>
      </w:r>
    </w:p>
    <w:p>
      <w:pPr>
        <w:pStyle w:val="54"/>
        <w:numPr>
          <w:ilvl w:val="0"/>
          <w:numId w:val="45"/>
        </w:numPr>
      </w:pPr>
      <w:r>
        <w:rPr>
          <w:rFonts w:hint="eastAsia"/>
        </w:rPr>
        <w:t>服务对象对志愿服务的满意率；</w:t>
      </w:r>
    </w:p>
    <w:p>
      <w:pPr>
        <w:pStyle w:val="54"/>
        <w:numPr>
          <w:ilvl w:val="0"/>
          <w:numId w:val="45"/>
        </w:numPr>
      </w:pPr>
      <w:r>
        <w:rPr>
          <w:rFonts w:hint="eastAsia"/>
        </w:rPr>
        <w:t>服务对象对志愿者的满意率；</w:t>
      </w:r>
    </w:p>
    <w:p>
      <w:pPr>
        <w:pStyle w:val="54"/>
        <w:numPr>
          <w:ilvl w:val="0"/>
          <w:numId w:val="45"/>
        </w:numPr>
      </w:pPr>
      <w:r>
        <w:rPr>
          <w:rFonts w:hint="eastAsia"/>
        </w:rPr>
        <w:t>服务对象</w:t>
      </w:r>
      <w:r>
        <w:t>对志愿服务组织的接受度；</w:t>
      </w:r>
    </w:p>
    <w:p>
      <w:pPr>
        <w:pStyle w:val="54"/>
        <w:numPr>
          <w:ilvl w:val="0"/>
          <w:numId w:val="45"/>
        </w:numPr>
      </w:pPr>
      <w:r>
        <w:rPr>
          <w:rFonts w:hint="eastAsia"/>
        </w:rPr>
        <w:t>服务对象对志愿服务组织的满意率。</w:t>
      </w:r>
    </w:p>
    <w:p>
      <w:pPr>
        <w:pStyle w:val="82"/>
        <w:spacing w:before="156" w:after="156"/>
      </w:pPr>
      <w:bookmarkStart w:id="404" w:name="_Toc519156489"/>
      <w:r>
        <w:rPr>
          <w:rFonts w:hint="eastAsia"/>
        </w:rPr>
        <w:t>公众认同</w:t>
      </w:r>
      <w:bookmarkEnd w:id="404"/>
    </w:p>
    <w:p>
      <w:pPr>
        <w:pStyle w:val="21"/>
      </w:pPr>
      <w:r>
        <w:rPr>
          <w:rFonts w:hint="eastAsia"/>
        </w:rPr>
        <w:t>公众认同的评价内容包括但不限于：</w:t>
      </w:r>
    </w:p>
    <w:p>
      <w:pPr>
        <w:pStyle w:val="54"/>
        <w:numPr>
          <w:ilvl w:val="0"/>
          <w:numId w:val="46"/>
        </w:numPr>
      </w:pPr>
      <w:r>
        <w:rPr>
          <w:rFonts w:hint="eastAsia"/>
        </w:rPr>
        <w:t>获得政府相关部门奖励的次数；</w:t>
      </w:r>
    </w:p>
    <w:p>
      <w:pPr>
        <w:pStyle w:val="54"/>
        <w:numPr>
          <w:ilvl w:val="0"/>
          <w:numId w:val="46"/>
        </w:numPr>
      </w:pPr>
      <w:r>
        <w:rPr>
          <w:rFonts w:hint="eastAsia"/>
        </w:rPr>
        <w:t>媒体对志愿服务的正面报道次数；</w:t>
      </w:r>
    </w:p>
    <w:p>
      <w:pPr>
        <w:pStyle w:val="54"/>
        <w:numPr>
          <w:ilvl w:val="0"/>
          <w:numId w:val="46"/>
        </w:numPr>
      </w:pPr>
      <w:r>
        <w:rPr>
          <w:rFonts w:hint="eastAsia"/>
        </w:rPr>
        <w:t>志愿服务信息的点击率；</w:t>
      </w:r>
    </w:p>
    <w:p>
      <w:pPr>
        <w:pStyle w:val="54"/>
        <w:numPr>
          <w:ilvl w:val="0"/>
          <w:numId w:val="46"/>
        </w:numPr>
      </w:pPr>
      <w:r>
        <w:rPr>
          <w:rFonts w:hint="eastAsia"/>
        </w:rPr>
        <w:t>志愿服务资金和物品的社会捐赠数额；</w:t>
      </w:r>
    </w:p>
    <w:p>
      <w:pPr>
        <w:pStyle w:val="54"/>
        <w:numPr>
          <w:ilvl w:val="0"/>
          <w:numId w:val="46"/>
        </w:numPr>
      </w:pPr>
      <w:r>
        <w:rPr>
          <w:rFonts w:hint="eastAsia"/>
        </w:rPr>
        <w:t>获得政府资金支持的数额。</w:t>
      </w:r>
    </w:p>
    <w:p>
      <w:pPr>
        <w:pStyle w:val="96"/>
        <w:spacing w:before="156" w:after="156"/>
      </w:pPr>
      <w:bookmarkStart w:id="405" w:name="_Toc519156495"/>
      <w:bookmarkStart w:id="406" w:name="_Toc522179669"/>
      <w:r>
        <w:rPr>
          <w:rFonts w:hint="eastAsia"/>
        </w:rPr>
        <w:t>信用与荣誉</w:t>
      </w:r>
      <w:bookmarkEnd w:id="405"/>
      <w:bookmarkEnd w:id="406"/>
    </w:p>
    <w:p>
      <w:pPr>
        <w:pStyle w:val="82"/>
        <w:spacing w:before="156" w:after="156"/>
      </w:pPr>
      <w:bookmarkStart w:id="407" w:name="_Toc519156496"/>
      <w:r>
        <w:rPr>
          <w:rFonts w:hint="eastAsia"/>
        </w:rPr>
        <w:t>信用</w:t>
      </w:r>
      <w:bookmarkEnd w:id="407"/>
    </w:p>
    <w:p>
      <w:pPr>
        <w:pStyle w:val="21"/>
      </w:pPr>
      <w:r>
        <w:rPr>
          <w:rFonts w:hint="eastAsia"/>
        </w:rPr>
        <w:t>信用的评价内容包括但不限于：</w:t>
      </w:r>
    </w:p>
    <w:p>
      <w:pPr>
        <w:pStyle w:val="54"/>
        <w:numPr>
          <w:ilvl w:val="0"/>
          <w:numId w:val="47"/>
        </w:numPr>
      </w:pPr>
      <w:r>
        <w:rPr>
          <w:rFonts w:hint="eastAsia"/>
        </w:rPr>
        <w:t>守法运营，无违法运营行为；</w:t>
      </w:r>
    </w:p>
    <w:p>
      <w:pPr>
        <w:pStyle w:val="54"/>
        <w:numPr>
          <w:ilvl w:val="0"/>
          <w:numId w:val="47"/>
        </w:numPr>
      </w:pPr>
      <w:r>
        <w:rPr>
          <w:rFonts w:hint="eastAsia"/>
        </w:rPr>
        <w:t>未发生过诈骗行为和银行信誉受损等情况；</w:t>
      </w:r>
    </w:p>
    <w:p>
      <w:pPr>
        <w:pStyle w:val="54"/>
        <w:numPr>
          <w:ilvl w:val="0"/>
          <w:numId w:val="47"/>
        </w:numPr>
      </w:pPr>
      <w:r>
        <w:rPr>
          <w:rFonts w:hint="eastAsia"/>
        </w:rPr>
        <w:t>未发生过违约和债务拖欠等行为；</w:t>
      </w:r>
    </w:p>
    <w:p>
      <w:pPr>
        <w:pStyle w:val="54"/>
        <w:numPr>
          <w:ilvl w:val="0"/>
          <w:numId w:val="47"/>
        </w:numPr>
      </w:pPr>
      <w:r>
        <w:rPr>
          <w:rFonts w:hint="eastAsia"/>
        </w:rPr>
        <w:t>具有志愿者、志愿服务对象隐私保护措施。</w:t>
      </w:r>
    </w:p>
    <w:p>
      <w:pPr>
        <w:pStyle w:val="82"/>
        <w:spacing w:before="156" w:after="156"/>
      </w:pPr>
      <w:bookmarkStart w:id="408" w:name="_Toc519156497"/>
      <w:r>
        <w:rPr>
          <w:rFonts w:hint="eastAsia"/>
        </w:rPr>
        <w:t>荣誉</w:t>
      </w:r>
      <w:bookmarkEnd w:id="408"/>
    </w:p>
    <w:p>
      <w:pPr>
        <w:pStyle w:val="21"/>
      </w:pPr>
      <w:r>
        <w:rPr>
          <w:rFonts w:hint="eastAsia"/>
        </w:rPr>
        <w:t>应能提供所获得荣誉的证明，如各级主管</w:t>
      </w:r>
      <w:r>
        <w:t>部门</w:t>
      </w:r>
      <w:r>
        <w:rPr>
          <w:rFonts w:hint="eastAsia"/>
        </w:rPr>
        <w:t>、行业协会等组织授予的嘉许、奖状、荣誉或关于其社会地位、良好口碑的认可等。</w:t>
      </w:r>
    </w:p>
    <w:p>
      <w:pPr>
        <w:pStyle w:val="95"/>
        <w:spacing w:before="312" w:after="312"/>
      </w:pPr>
      <w:bookmarkStart w:id="409" w:name="_Toc519156501"/>
      <w:bookmarkStart w:id="410" w:name="_Toc522179671"/>
      <w:r>
        <w:rPr>
          <w:rFonts w:hint="eastAsia"/>
        </w:rPr>
        <w:t>评价方法和</w:t>
      </w:r>
      <w:bookmarkEnd w:id="409"/>
      <w:bookmarkEnd w:id="410"/>
      <w:r>
        <w:rPr>
          <w:rFonts w:hint="eastAsia"/>
        </w:rPr>
        <w:t>评价方式</w:t>
      </w:r>
    </w:p>
    <w:p>
      <w:pPr>
        <w:pStyle w:val="96"/>
        <w:spacing w:before="156" w:after="156"/>
      </w:pPr>
      <w:bookmarkStart w:id="411" w:name="_Toc519156502"/>
      <w:bookmarkStart w:id="412" w:name="_Toc522179672"/>
      <w:r>
        <w:rPr>
          <w:rFonts w:hint="eastAsia"/>
        </w:rPr>
        <w:t>评价方法</w:t>
      </w:r>
      <w:bookmarkEnd w:id="411"/>
      <w:bookmarkEnd w:id="412"/>
    </w:p>
    <w:p>
      <w:pPr>
        <w:pStyle w:val="21"/>
      </w:pPr>
      <w:r>
        <w:rPr>
          <w:rFonts w:hint="eastAsia"/>
        </w:rPr>
        <w:t>开展</w:t>
      </w:r>
      <w:r>
        <w:t>评价时</w:t>
      </w:r>
      <w:r>
        <w:rPr>
          <w:rFonts w:hint="eastAsia"/>
        </w:rPr>
        <w:t>应根据志愿服务组织所从事活动的不同进行评价模块、子模块的</w:t>
      </w:r>
      <w:r>
        <w:t>组合</w:t>
      </w:r>
      <w:r>
        <w:rPr>
          <w:rFonts w:hint="eastAsia"/>
        </w:rPr>
        <w:t>，设置不同的权重，</w:t>
      </w:r>
      <w:r>
        <w:t>并</w:t>
      </w:r>
      <w:r>
        <w:rPr>
          <w:rFonts w:hint="eastAsia"/>
        </w:rPr>
        <w:t>计算得分。评价方法如下：</w:t>
      </w:r>
    </w:p>
    <w:p>
      <w:pPr>
        <w:pStyle w:val="54"/>
        <w:numPr>
          <w:ilvl w:val="0"/>
          <w:numId w:val="48"/>
        </w:numPr>
      </w:pPr>
      <w:r>
        <w:rPr>
          <w:rFonts w:hint="eastAsia"/>
        </w:rPr>
        <w:t>根据</w:t>
      </w:r>
      <w:r>
        <w:t>评价需求</w:t>
      </w:r>
      <w:r>
        <w:rPr>
          <w:rFonts w:hint="eastAsia"/>
        </w:rPr>
        <w:t>确定评价要素，</w:t>
      </w:r>
      <w:r>
        <w:t>给出</w:t>
      </w:r>
      <w:r>
        <w:rPr>
          <w:rFonts w:hint="eastAsia"/>
        </w:rPr>
        <w:t>评价</w:t>
      </w:r>
      <w:r>
        <w:t>模块的权重</w:t>
      </w:r>
      <w:r>
        <w:rPr>
          <w:rFonts w:hint="eastAsia"/>
        </w:rPr>
        <w:t>；</w:t>
      </w:r>
    </w:p>
    <w:p>
      <w:pPr>
        <w:pStyle w:val="54"/>
        <w:numPr>
          <w:ilvl w:val="0"/>
          <w:numId w:val="48"/>
        </w:numPr>
      </w:pPr>
      <w:r>
        <w:rPr>
          <w:rFonts w:hint="eastAsia"/>
        </w:rPr>
        <w:t>给出各</w:t>
      </w:r>
      <w:r>
        <w:t>评价要素的打分规则；</w:t>
      </w:r>
    </w:p>
    <w:p>
      <w:pPr>
        <w:pStyle w:val="54"/>
        <w:numPr>
          <w:ilvl w:val="0"/>
          <w:numId w:val="48"/>
        </w:numPr>
      </w:pPr>
      <w:r>
        <w:rPr>
          <w:rFonts w:hint="eastAsia"/>
        </w:rPr>
        <w:t>采用多种评价方式（见</w:t>
      </w:r>
      <w:r>
        <w:t>A.4</w:t>
      </w:r>
      <w:r>
        <w:rPr>
          <w:rFonts w:hint="eastAsia"/>
        </w:rPr>
        <w:t>.2）的组合使用，对评价要素进行评价，给出评价结果；</w:t>
      </w:r>
    </w:p>
    <w:p>
      <w:pPr>
        <w:pStyle w:val="54"/>
        <w:numPr>
          <w:ilvl w:val="0"/>
          <w:numId w:val="48"/>
        </w:numPr>
      </w:pPr>
      <w:r>
        <w:rPr>
          <w:rFonts w:hint="eastAsia"/>
        </w:rPr>
        <w:t>依据评价要素</w:t>
      </w:r>
      <w:r>
        <w:t>的</w:t>
      </w:r>
      <w:r>
        <w:rPr>
          <w:rFonts w:hint="eastAsia"/>
        </w:rPr>
        <w:t>得分，求和算出模块的评价得分；</w:t>
      </w:r>
    </w:p>
    <w:p>
      <w:pPr>
        <w:pStyle w:val="54"/>
        <w:numPr>
          <w:ilvl w:val="0"/>
          <w:numId w:val="48"/>
        </w:numPr>
      </w:pPr>
      <w:r>
        <w:rPr>
          <w:rFonts w:hint="eastAsia"/>
        </w:rPr>
        <w:t>依据所有模块的评价得分和权重，换算成百分制，计算总得分。</w:t>
      </w:r>
    </w:p>
    <w:p>
      <w:pPr>
        <w:pStyle w:val="59"/>
        <w:ind w:left="1134"/>
      </w:pPr>
      <w:r>
        <w:rPr>
          <w:rFonts w:hint="eastAsia"/>
        </w:rPr>
        <w:t>权重可根据不同的服务类型进行制定。</w:t>
      </w:r>
    </w:p>
    <w:p>
      <w:pPr>
        <w:pStyle w:val="21"/>
      </w:pPr>
      <w:r>
        <w:rPr>
          <w:rFonts w:hint="eastAsia"/>
        </w:rPr>
        <w:t>志愿</w:t>
      </w:r>
      <w:r>
        <w:t>服务组织评价</w:t>
      </w:r>
      <w:r>
        <w:rPr>
          <w:rFonts w:hint="eastAsia"/>
        </w:rPr>
        <w:t>示例</w:t>
      </w:r>
      <w:r>
        <w:t>参见附录B</w:t>
      </w:r>
      <w:r>
        <w:rPr>
          <w:rFonts w:hint="eastAsia"/>
        </w:rPr>
        <w:t>。</w:t>
      </w:r>
    </w:p>
    <w:p>
      <w:pPr>
        <w:pStyle w:val="96"/>
        <w:spacing w:before="156" w:after="156"/>
      </w:pPr>
      <w:bookmarkStart w:id="413" w:name="_Toc519156503"/>
      <w:bookmarkStart w:id="414" w:name="_Toc522179673"/>
      <w:r>
        <w:rPr>
          <w:rFonts w:hint="eastAsia"/>
        </w:rPr>
        <w:t>评价方式</w:t>
      </w:r>
      <w:bookmarkEnd w:id="413"/>
      <w:bookmarkEnd w:id="414"/>
    </w:p>
    <w:p>
      <w:pPr>
        <w:pStyle w:val="21"/>
      </w:pPr>
      <w:r>
        <w:rPr>
          <w:rFonts w:hint="eastAsia"/>
        </w:rPr>
        <w:t>评价方式是对评价内容作出评价结论的主要手段，在评价过程中可使用一种评价方式，也可使用多种评价方式叠加。主要的评价方式有：</w:t>
      </w:r>
    </w:p>
    <w:p>
      <w:pPr>
        <w:pStyle w:val="54"/>
        <w:numPr>
          <w:ilvl w:val="0"/>
          <w:numId w:val="49"/>
        </w:numPr>
      </w:pPr>
      <w:r>
        <w:rPr>
          <w:rFonts w:hint="eastAsia"/>
        </w:rPr>
        <w:t>文件审查：对所提供的审核文件的真实性和有效性进行审查，审核文件包括被评价的组织机构根据评价要求提供的相关文件、证件或证明材料等；</w:t>
      </w:r>
    </w:p>
    <w:p>
      <w:pPr>
        <w:pStyle w:val="54"/>
        <w:numPr>
          <w:ilvl w:val="0"/>
          <w:numId w:val="49"/>
        </w:numPr>
      </w:pPr>
      <w:r>
        <w:rPr>
          <w:rFonts w:hint="eastAsia"/>
        </w:rPr>
        <w:t>人员访谈：对相关人员，针对评价内容进行访谈；</w:t>
      </w:r>
    </w:p>
    <w:p>
      <w:pPr>
        <w:pStyle w:val="54"/>
        <w:numPr>
          <w:ilvl w:val="0"/>
          <w:numId w:val="49"/>
        </w:numPr>
      </w:pPr>
      <w:r>
        <w:rPr>
          <w:rFonts w:hint="eastAsia"/>
        </w:rPr>
        <w:t>现场巡查：赴现场了解有关内容，对事实相符性进行查验。</w:t>
      </w:r>
    </w:p>
    <w:p>
      <w:pPr>
        <w:pStyle w:val="95"/>
        <w:spacing w:before="312" w:after="312"/>
      </w:pPr>
      <w:bookmarkStart w:id="415" w:name="_Toc519156505"/>
      <w:bookmarkStart w:id="416" w:name="_Toc522179675"/>
      <w:r>
        <w:rPr>
          <w:rFonts w:hint="eastAsia"/>
        </w:rPr>
        <w:t>扩展原则与方法</w:t>
      </w:r>
      <w:bookmarkEnd w:id="415"/>
      <w:bookmarkEnd w:id="416"/>
    </w:p>
    <w:p>
      <w:pPr>
        <w:pStyle w:val="21"/>
      </w:pPr>
      <w:r>
        <w:rPr>
          <w:rFonts w:hint="eastAsia"/>
        </w:rPr>
        <w:t>本标准使用过程中，可根据不同志愿服务活动特点和不同的评价需要进行扩展。扩展内容（模块、子模块和评价内容）不应与已有内容冲突。</w:t>
      </w:r>
    </w:p>
    <w:p>
      <w:pPr>
        <w:pStyle w:val="21"/>
      </w:pPr>
      <w:r>
        <w:rPr>
          <w:rFonts w:hint="eastAsia"/>
        </w:rPr>
        <w:t>扩展方法如下：</w:t>
      </w:r>
    </w:p>
    <w:p>
      <w:pPr>
        <w:pStyle w:val="54"/>
        <w:numPr>
          <w:ilvl w:val="0"/>
          <w:numId w:val="50"/>
        </w:numPr>
      </w:pPr>
      <w:r>
        <w:rPr>
          <w:rFonts w:hint="eastAsia"/>
        </w:rPr>
        <w:t>增加评价模块，应相应增加本模块下的评价子模块和评价内容；</w:t>
      </w:r>
    </w:p>
    <w:p>
      <w:pPr>
        <w:pStyle w:val="54"/>
        <w:numPr>
          <w:ilvl w:val="0"/>
          <w:numId w:val="50"/>
        </w:numPr>
      </w:pPr>
      <w:r>
        <w:rPr>
          <w:rFonts w:hint="eastAsia"/>
        </w:rPr>
        <w:t>增加现有模块下的子模块，应相应增加本子模块下的评价内容；</w:t>
      </w:r>
    </w:p>
    <w:p>
      <w:pPr>
        <w:pStyle w:val="54"/>
        <w:numPr>
          <w:ilvl w:val="0"/>
          <w:numId w:val="50"/>
        </w:numPr>
      </w:pPr>
      <w:r>
        <w:rPr>
          <w:rFonts w:hint="eastAsia"/>
        </w:rPr>
        <w:t>增加子模块下评价内容；</w:t>
      </w:r>
    </w:p>
    <w:p>
      <w:pPr>
        <w:pStyle w:val="21"/>
      </w:pPr>
      <w:r>
        <w:rPr>
          <w:rFonts w:hint="eastAsia"/>
        </w:rPr>
        <w:t>增加评价模块、子模块和评价内容后，评审规则应做适当调整，但不应与现有评审规则冲突。</w:t>
      </w:r>
    </w:p>
    <w:p>
      <w:pPr>
        <w:pStyle w:val="21"/>
      </w:pPr>
    </w:p>
    <w:p>
      <w:pPr>
        <w:pStyle w:val="21"/>
      </w:pPr>
    </w:p>
    <w:p>
      <w:pPr>
        <w:pStyle w:val="91"/>
      </w:pPr>
    </w:p>
    <w:p>
      <w:pPr>
        <w:pStyle w:val="80"/>
        <w:tabs>
          <w:tab w:val="clear" w:pos="0"/>
        </w:tabs>
      </w:pPr>
    </w:p>
    <w:p>
      <w:pPr>
        <w:pStyle w:val="78"/>
      </w:pPr>
      <w:r>
        <w:br/>
      </w:r>
      <w:bookmarkStart w:id="417" w:name="_Toc530475146"/>
      <w:bookmarkStart w:id="418" w:name="_Toc532820460"/>
      <w:bookmarkStart w:id="419" w:name="_Toc532820495"/>
      <w:bookmarkStart w:id="420" w:name="_Toc533435880"/>
      <w:r>
        <w:rPr>
          <w:rFonts w:hint="eastAsia"/>
        </w:rPr>
        <w:t>（资料性附录）</w:t>
      </w:r>
      <w:r>
        <w:br/>
      </w:r>
      <w:r>
        <w:rPr>
          <w:rFonts w:hint="eastAsia"/>
        </w:rPr>
        <w:t>志愿服务组织评价</w:t>
      </w:r>
      <w:bookmarkEnd w:id="417"/>
      <w:bookmarkEnd w:id="418"/>
      <w:bookmarkEnd w:id="419"/>
      <w:r>
        <w:rPr>
          <w:rFonts w:hint="eastAsia"/>
        </w:rPr>
        <w:t>示例</w:t>
      </w:r>
      <w:bookmarkEnd w:id="420"/>
    </w:p>
    <w:p>
      <w:pPr>
        <w:pStyle w:val="95"/>
        <w:spacing w:before="312" w:after="312"/>
      </w:pPr>
      <w:r>
        <w:rPr>
          <w:rFonts w:hint="eastAsia"/>
        </w:rPr>
        <w:t>评价</w:t>
      </w:r>
      <w:r>
        <w:t>场景</w:t>
      </w:r>
    </w:p>
    <w:p>
      <w:pPr>
        <w:pStyle w:val="21"/>
      </w:pPr>
      <w:r>
        <w:t>某志愿服务</w:t>
      </w:r>
      <w:r>
        <w:rPr>
          <w:rFonts w:hint="eastAsia"/>
        </w:rPr>
        <w:t>协会</w:t>
      </w:r>
      <w:r>
        <w:t>对其</w:t>
      </w:r>
      <w:r>
        <w:rPr>
          <w:rFonts w:hint="eastAsia"/>
        </w:rPr>
        <w:t>下属</w:t>
      </w:r>
      <w:r>
        <w:t>的志愿服务组织进行年度测评</w:t>
      </w:r>
      <w:r>
        <w:rPr>
          <w:rFonts w:hint="eastAsia"/>
        </w:rPr>
        <w:t>。</w:t>
      </w:r>
    </w:p>
    <w:p>
      <w:pPr>
        <w:pStyle w:val="95"/>
        <w:spacing w:before="312" w:after="312"/>
      </w:pPr>
      <w:r>
        <w:rPr>
          <w:rFonts w:hint="eastAsia"/>
        </w:rPr>
        <w:t>评价</w:t>
      </w:r>
      <w:r>
        <w:t>过程</w:t>
      </w:r>
    </w:p>
    <w:p>
      <w:pPr>
        <w:pStyle w:val="96"/>
        <w:spacing w:before="156" w:after="156"/>
      </w:pPr>
      <w:r>
        <w:rPr>
          <w:rFonts w:hint="eastAsia"/>
        </w:rPr>
        <w:t>确定</w:t>
      </w:r>
      <w:r>
        <w:t>评价要素</w:t>
      </w:r>
    </w:p>
    <w:p>
      <w:pPr>
        <w:pStyle w:val="21"/>
      </w:pPr>
      <w:r>
        <w:rPr>
          <w:rFonts w:hint="eastAsia"/>
        </w:rPr>
        <w:t>针对</w:t>
      </w:r>
      <w:r>
        <w:t>本次评价的目的及对象</w:t>
      </w:r>
      <w:r>
        <w:rPr>
          <w:rFonts w:hint="eastAsia"/>
        </w:rPr>
        <w:t>从</w:t>
      </w:r>
      <w:r>
        <w:t>本标准附录A.3</w:t>
      </w:r>
      <w:r>
        <w:rPr>
          <w:rFonts w:hint="eastAsia"/>
        </w:rPr>
        <w:t>中</w:t>
      </w:r>
      <w:r>
        <w:t>挑选具体的评价</w:t>
      </w:r>
      <w:r>
        <w:rPr>
          <w:rFonts w:hint="eastAsia"/>
        </w:rPr>
        <w:t>要素，</w:t>
      </w:r>
      <w:r>
        <w:t>见表B.1。</w:t>
      </w:r>
    </w:p>
    <w:p>
      <w:pPr>
        <w:pStyle w:val="81"/>
        <w:spacing w:before="156" w:after="156"/>
      </w:pPr>
      <w:r>
        <w:rPr>
          <w:rFonts w:hint="eastAsia"/>
        </w:rPr>
        <w:t>评价</w:t>
      </w:r>
      <w:r>
        <w:t>要素</w:t>
      </w:r>
      <w:r>
        <w:rPr>
          <w:rFonts w:hint="eastAsia"/>
        </w:rPr>
        <w:t>表</w:t>
      </w:r>
    </w:p>
    <w:tbl>
      <w:tblPr>
        <w:tblStyle w:val="35"/>
        <w:tblW w:w="6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23"/>
        <w:gridCol w:w="1276"/>
        <w:gridCol w:w="1328"/>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Align w:val="center"/>
          </w:tcPr>
          <w:p>
            <w:pPr>
              <w:pStyle w:val="49"/>
              <w:numPr>
                <w:ilvl w:val="1"/>
                <w:numId w:val="0"/>
              </w:numPr>
              <w:jc w:val="center"/>
              <w:rPr>
                <w:b/>
                <w:sz w:val="18"/>
                <w:szCs w:val="18"/>
              </w:rPr>
            </w:pPr>
            <w:r>
              <w:rPr>
                <w:rFonts w:hint="eastAsia"/>
                <w:b/>
                <w:sz w:val="18"/>
                <w:szCs w:val="18"/>
              </w:rPr>
              <w:t>序号</w:t>
            </w:r>
          </w:p>
        </w:tc>
        <w:tc>
          <w:tcPr>
            <w:tcW w:w="1276" w:type="dxa"/>
            <w:vAlign w:val="center"/>
          </w:tcPr>
          <w:p>
            <w:pPr>
              <w:pStyle w:val="49"/>
              <w:numPr>
                <w:ilvl w:val="1"/>
                <w:numId w:val="0"/>
              </w:numPr>
              <w:jc w:val="center"/>
              <w:rPr>
                <w:b/>
                <w:sz w:val="18"/>
                <w:szCs w:val="18"/>
              </w:rPr>
            </w:pPr>
            <w:r>
              <w:rPr>
                <w:rFonts w:hint="eastAsia"/>
                <w:b/>
                <w:sz w:val="18"/>
                <w:szCs w:val="18"/>
              </w:rPr>
              <w:t>评价</w:t>
            </w:r>
            <w:r>
              <w:rPr>
                <w:b/>
                <w:sz w:val="18"/>
                <w:szCs w:val="18"/>
              </w:rPr>
              <w:t>模块</w:t>
            </w:r>
          </w:p>
        </w:tc>
        <w:tc>
          <w:tcPr>
            <w:tcW w:w="1328" w:type="dxa"/>
            <w:vAlign w:val="center"/>
          </w:tcPr>
          <w:p>
            <w:pPr>
              <w:pStyle w:val="49"/>
              <w:numPr>
                <w:ilvl w:val="1"/>
                <w:numId w:val="0"/>
              </w:numPr>
              <w:ind w:left="100"/>
              <w:jc w:val="center"/>
              <w:rPr>
                <w:b/>
                <w:sz w:val="18"/>
                <w:szCs w:val="18"/>
              </w:rPr>
            </w:pPr>
            <w:r>
              <w:rPr>
                <w:rFonts w:hint="eastAsia"/>
                <w:b/>
                <w:sz w:val="18"/>
                <w:szCs w:val="18"/>
              </w:rPr>
              <w:t>评价子</w:t>
            </w:r>
            <w:r>
              <w:rPr>
                <w:b/>
                <w:sz w:val="18"/>
                <w:szCs w:val="18"/>
              </w:rPr>
              <w:t>模块</w:t>
            </w:r>
          </w:p>
        </w:tc>
        <w:tc>
          <w:tcPr>
            <w:tcW w:w="3402" w:type="dxa"/>
            <w:vAlign w:val="center"/>
          </w:tcPr>
          <w:p>
            <w:pPr>
              <w:pStyle w:val="49"/>
              <w:numPr>
                <w:ilvl w:val="1"/>
                <w:numId w:val="0"/>
              </w:numPr>
              <w:ind w:left="1259"/>
              <w:jc w:val="center"/>
              <w:rPr>
                <w:b/>
                <w:sz w:val="18"/>
                <w:szCs w:val="18"/>
              </w:rPr>
            </w:pPr>
            <w:r>
              <w:rPr>
                <w:rFonts w:hint="eastAsia"/>
                <w:b/>
                <w:sz w:val="18"/>
                <w:szCs w:val="18"/>
              </w:rPr>
              <w:t>评价要素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Merge w:val="restart"/>
            <w:vAlign w:val="center"/>
          </w:tcPr>
          <w:p>
            <w:pPr>
              <w:pStyle w:val="49"/>
              <w:numPr>
                <w:ilvl w:val="1"/>
                <w:numId w:val="0"/>
              </w:numPr>
              <w:ind w:left="64"/>
              <w:rPr>
                <w:sz w:val="18"/>
                <w:szCs w:val="18"/>
              </w:rPr>
            </w:pPr>
            <w:r>
              <w:rPr>
                <w:rFonts w:hint="eastAsia"/>
                <w:sz w:val="18"/>
                <w:szCs w:val="18"/>
              </w:rPr>
              <w:t>1</w:t>
            </w:r>
          </w:p>
        </w:tc>
        <w:tc>
          <w:tcPr>
            <w:tcW w:w="1276" w:type="dxa"/>
            <w:vMerge w:val="restart"/>
            <w:vAlign w:val="center"/>
          </w:tcPr>
          <w:p>
            <w:pPr>
              <w:pStyle w:val="49"/>
              <w:numPr>
                <w:ilvl w:val="1"/>
                <w:numId w:val="0"/>
              </w:numPr>
              <w:ind w:left="74"/>
              <w:rPr>
                <w:sz w:val="18"/>
                <w:szCs w:val="18"/>
              </w:rPr>
            </w:pPr>
            <w:r>
              <w:rPr>
                <w:rFonts w:hint="eastAsia"/>
                <w:sz w:val="18"/>
                <w:szCs w:val="18"/>
              </w:rPr>
              <w:t>基础</w:t>
            </w:r>
            <w:r>
              <w:rPr>
                <w:sz w:val="18"/>
                <w:szCs w:val="18"/>
              </w:rPr>
              <w:t>条件</w:t>
            </w:r>
          </w:p>
        </w:tc>
        <w:tc>
          <w:tcPr>
            <w:tcW w:w="1328" w:type="dxa"/>
            <w:vMerge w:val="restart"/>
            <w:vAlign w:val="center"/>
          </w:tcPr>
          <w:p>
            <w:pPr>
              <w:pStyle w:val="49"/>
              <w:numPr>
                <w:ilvl w:val="1"/>
                <w:numId w:val="0"/>
              </w:numPr>
              <w:jc w:val="center"/>
              <w:rPr>
                <w:sz w:val="18"/>
                <w:szCs w:val="18"/>
              </w:rPr>
            </w:pPr>
            <w:r>
              <w:rPr>
                <w:rFonts w:hint="eastAsia"/>
                <w:sz w:val="18"/>
                <w:szCs w:val="18"/>
              </w:rPr>
              <w:t>机构</w:t>
            </w:r>
            <w:r>
              <w:rPr>
                <w:sz w:val="18"/>
                <w:szCs w:val="18"/>
              </w:rPr>
              <w:t>设置</w:t>
            </w:r>
          </w:p>
        </w:tc>
        <w:tc>
          <w:tcPr>
            <w:tcW w:w="3402" w:type="dxa"/>
            <w:vAlign w:val="center"/>
          </w:tcPr>
          <w:p>
            <w:pPr>
              <w:pStyle w:val="54"/>
              <w:numPr>
                <w:ilvl w:val="0"/>
                <w:numId w:val="0"/>
              </w:numPr>
              <w:jc w:val="left"/>
              <w:rPr>
                <w:sz w:val="18"/>
                <w:szCs w:val="18"/>
              </w:rPr>
            </w:pPr>
            <w:r>
              <w:rPr>
                <w:rFonts w:hint="eastAsia"/>
                <w:sz w:val="18"/>
                <w:szCs w:val="18"/>
              </w:rPr>
              <w:t>建立组织章程、管理制度等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Merge w:val="continue"/>
            <w:vAlign w:val="center"/>
          </w:tcPr>
          <w:p>
            <w:pPr>
              <w:pStyle w:val="49"/>
              <w:ind w:left="64"/>
              <w:jc w:val="center"/>
              <w:rPr>
                <w:sz w:val="18"/>
                <w:szCs w:val="18"/>
              </w:rPr>
            </w:pPr>
          </w:p>
        </w:tc>
        <w:tc>
          <w:tcPr>
            <w:tcW w:w="1276" w:type="dxa"/>
            <w:vMerge w:val="continue"/>
            <w:vAlign w:val="center"/>
          </w:tcPr>
          <w:p>
            <w:pPr>
              <w:pStyle w:val="49"/>
              <w:ind w:left="74"/>
              <w:jc w:val="center"/>
              <w:rPr>
                <w:sz w:val="18"/>
                <w:szCs w:val="18"/>
              </w:rPr>
            </w:pPr>
          </w:p>
        </w:tc>
        <w:tc>
          <w:tcPr>
            <w:tcW w:w="1328" w:type="dxa"/>
            <w:vMerge w:val="continue"/>
            <w:vAlign w:val="center"/>
          </w:tcPr>
          <w:p>
            <w:pPr>
              <w:pStyle w:val="49"/>
              <w:ind w:left="0"/>
              <w:jc w:val="center"/>
              <w:rPr>
                <w:sz w:val="18"/>
                <w:szCs w:val="18"/>
              </w:rPr>
            </w:pPr>
          </w:p>
        </w:tc>
        <w:tc>
          <w:tcPr>
            <w:tcW w:w="3402" w:type="dxa"/>
            <w:vAlign w:val="center"/>
          </w:tcPr>
          <w:p>
            <w:pPr>
              <w:pStyle w:val="54"/>
              <w:numPr>
                <w:ilvl w:val="0"/>
                <w:numId w:val="0"/>
              </w:numPr>
              <w:jc w:val="left"/>
              <w:rPr>
                <w:sz w:val="18"/>
                <w:szCs w:val="18"/>
              </w:rPr>
            </w:pPr>
            <w:r>
              <w:rPr>
                <w:rFonts w:hint="eastAsia"/>
                <w:sz w:val="18"/>
                <w:szCs w:val="18"/>
              </w:rPr>
              <w:t>具有固定的使命表述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Merge w:val="continue"/>
            <w:vAlign w:val="center"/>
          </w:tcPr>
          <w:p>
            <w:pPr>
              <w:pStyle w:val="49"/>
              <w:ind w:left="64"/>
              <w:jc w:val="center"/>
              <w:rPr>
                <w:sz w:val="18"/>
                <w:szCs w:val="18"/>
              </w:rPr>
            </w:pPr>
          </w:p>
        </w:tc>
        <w:tc>
          <w:tcPr>
            <w:tcW w:w="1276" w:type="dxa"/>
            <w:vMerge w:val="continue"/>
            <w:vAlign w:val="center"/>
          </w:tcPr>
          <w:p>
            <w:pPr>
              <w:pStyle w:val="49"/>
              <w:ind w:left="74"/>
              <w:jc w:val="center"/>
              <w:rPr>
                <w:sz w:val="18"/>
                <w:szCs w:val="18"/>
              </w:rPr>
            </w:pPr>
          </w:p>
        </w:tc>
        <w:tc>
          <w:tcPr>
            <w:tcW w:w="1328" w:type="dxa"/>
            <w:vMerge w:val="continue"/>
            <w:vAlign w:val="center"/>
          </w:tcPr>
          <w:p>
            <w:pPr>
              <w:pStyle w:val="49"/>
              <w:ind w:left="0"/>
              <w:jc w:val="center"/>
              <w:rPr>
                <w:sz w:val="18"/>
                <w:szCs w:val="18"/>
              </w:rPr>
            </w:pPr>
          </w:p>
        </w:tc>
        <w:tc>
          <w:tcPr>
            <w:tcW w:w="3402" w:type="dxa"/>
            <w:vAlign w:val="center"/>
          </w:tcPr>
          <w:p>
            <w:pPr>
              <w:pStyle w:val="54"/>
              <w:numPr>
                <w:ilvl w:val="0"/>
                <w:numId w:val="0"/>
              </w:numPr>
              <w:jc w:val="left"/>
              <w:rPr>
                <w:sz w:val="18"/>
                <w:szCs w:val="18"/>
              </w:rPr>
            </w:pPr>
            <w:r>
              <w:rPr>
                <w:rFonts w:hint="eastAsia"/>
                <w:sz w:val="18"/>
                <w:szCs w:val="18"/>
              </w:rPr>
              <w:t>建立内部治理组织架构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Merge w:val="continue"/>
            <w:vAlign w:val="center"/>
          </w:tcPr>
          <w:p>
            <w:pPr>
              <w:pStyle w:val="49"/>
              <w:ind w:left="64"/>
              <w:jc w:val="center"/>
              <w:rPr>
                <w:sz w:val="18"/>
                <w:szCs w:val="18"/>
              </w:rPr>
            </w:pPr>
          </w:p>
        </w:tc>
        <w:tc>
          <w:tcPr>
            <w:tcW w:w="1276" w:type="dxa"/>
            <w:vMerge w:val="continue"/>
            <w:vAlign w:val="center"/>
          </w:tcPr>
          <w:p>
            <w:pPr>
              <w:pStyle w:val="49"/>
              <w:ind w:left="74"/>
              <w:jc w:val="center"/>
              <w:rPr>
                <w:sz w:val="18"/>
                <w:szCs w:val="18"/>
              </w:rPr>
            </w:pPr>
          </w:p>
        </w:tc>
        <w:tc>
          <w:tcPr>
            <w:tcW w:w="1328" w:type="dxa"/>
            <w:vMerge w:val="continue"/>
            <w:vAlign w:val="center"/>
          </w:tcPr>
          <w:p>
            <w:pPr>
              <w:pStyle w:val="49"/>
              <w:ind w:left="0"/>
              <w:jc w:val="center"/>
              <w:rPr>
                <w:sz w:val="18"/>
                <w:szCs w:val="18"/>
              </w:rPr>
            </w:pPr>
          </w:p>
        </w:tc>
        <w:tc>
          <w:tcPr>
            <w:tcW w:w="3402" w:type="dxa"/>
            <w:vAlign w:val="center"/>
          </w:tcPr>
          <w:p>
            <w:pPr>
              <w:pStyle w:val="54"/>
              <w:numPr>
                <w:ilvl w:val="0"/>
                <w:numId w:val="0"/>
              </w:numPr>
              <w:jc w:val="left"/>
              <w:rPr>
                <w:sz w:val="18"/>
                <w:szCs w:val="18"/>
              </w:rPr>
            </w:pPr>
            <w:r>
              <w:rPr>
                <w:rFonts w:hint="eastAsia"/>
                <w:sz w:val="18"/>
                <w:szCs w:val="18"/>
              </w:rPr>
              <w:t>所提供志愿服务不应以营利为目的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Merge w:val="continue"/>
            <w:vAlign w:val="center"/>
          </w:tcPr>
          <w:p>
            <w:pPr>
              <w:pStyle w:val="49"/>
              <w:ind w:left="64"/>
              <w:jc w:val="center"/>
              <w:rPr>
                <w:sz w:val="18"/>
                <w:szCs w:val="18"/>
              </w:rPr>
            </w:pPr>
          </w:p>
        </w:tc>
        <w:tc>
          <w:tcPr>
            <w:tcW w:w="1276" w:type="dxa"/>
            <w:vMerge w:val="continue"/>
            <w:vAlign w:val="center"/>
          </w:tcPr>
          <w:p>
            <w:pPr>
              <w:pStyle w:val="49"/>
              <w:ind w:left="74"/>
              <w:jc w:val="center"/>
              <w:rPr>
                <w:sz w:val="18"/>
                <w:szCs w:val="18"/>
              </w:rPr>
            </w:pPr>
          </w:p>
        </w:tc>
        <w:tc>
          <w:tcPr>
            <w:tcW w:w="1328" w:type="dxa"/>
            <w:vMerge w:val="continue"/>
            <w:vAlign w:val="center"/>
          </w:tcPr>
          <w:p>
            <w:pPr>
              <w:pStyle w:val="49"/>
              <w:ind w:left="0"/>
              <w:jc w:val="center"/>
              <w:rPr>
                <w:sz w:val="18"/>
                <w:szCs w:val="18"/>
              </w:rPr>
            </w:pPr>
          </w:p>
        </w:tc>
        <w:tc>
          <w:tcPr>
            <w:tcW w:w="3402" w:type="dxa"/>
            <w:vAlign w:val="center"/>
          </w:tcPr>
          <w:p>
            <w:pPr>
              <w:jc w:val="left"/>
              <w:rPr>
                <w:rFonts w:ascii="宋体"/>
                <w:sz w:val="18"/>
              </w:rPr>
            </w:pPr>
            <w:r>
              <w:rPr>
                <w:rFonts w:hint="eastAsia" w:ascii="宋体"/>
                <w:color w:val="000000"/>
                <w:sz w:val="18"/>
              </w:rPr>
              <w:t>设立党的组织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Merge w:val="restart"/>
            <w:vAlign w:val="center"/>
          </w:tcPr>
          <w:p>
            <w:pPr>
              <w:pStyle w:val="49"/>
              <w:numPr>
                <w:ilvl w:val="1"/>
                <w:numId w:val="0"/>
              </w:numPr>
              <w:ind w:left="64"/>
              <w:rPr>
                <w:sz w:val="18"/>
                <w:szCs w:val="18"/>
              </w:rPr>
            </w:pPr>
            <w:r>
              <w:rPr>
                <w:rFonts w:hint="eastAsia"/>
                <w:sz w:val="18"/>
                <w:szCs w:val="18"/>
              </w:rPr>
              <w:t>2</w:t>
            </w:r>
          </w:p>
        </w:tc>
        <w:tc>
          <w:tcPr>
            <w:tcW w:w="1276" w:type="dxa"/>
            <w:vMerge w:val="restart"/>
            <w:vAlign w:val="center"/>
          </w:tcPr>
          <w:p>
            <w:pPr>
              <w:pStyle w:val="49"/>
              <w:numPr>
                <w:ilvl w:val="1"/>
                <w:numId w:val="0"/>
              </w:numPr>
              <w:ind w:left="74"/>
              <w:rPr>
                <w:sz w:val="18"/>
                <w:szCs w:val="18"/>
              </w:rPr>
            </w:pPr>
            <w:r>
              <w:rPr>
                <w:rFonts w:hint="eastAsia"/>
                <w:sz w:val="18"/>
                <w:szCs w:val="18"/>
              </w:rPr>
              <w:t>服务</w:t>
            </w:r>
            <w:r>
              <w:rPr>
                <w:sz w:val="18"/>
                <w:szCs w:val="18"/>
              </w:rPr>
              <w:t>效果</w:t>
            </w:r>
          </w:p>
        </w:tc>
        <w:tc>
          <w:tcPr>
            <w:tcW w:w="1328" w:type="dxa"/>
            <w:vMerge w:val="restart"/>
            <w:vAlign w:val="center"/>
          </w:tcPr>
          <w:p>
            <w:pPr>
              <w:pStyle w:val="49"/>
              <w:numPr>
                <w:ilvl w:val="1"/>
                <w:numId w:val="0"/>
              </w:numPr>
              <w:jc w:val="center"/>
              <w:rPr>
                <w:sz w:val="18"/>
                <w:szCs w:val="18"/>
              </w:rPr>
            </w:pPr>
            <w:r>
              <w:rPr>
                <w:rFonts w:hint="eastAsia"/>
                <w:sz w:val="18"/>
                <w:szCs w:val="18"/>
              </w:rPr>
              <w:t>服务</w:t>
            </w:r>
            <w:r>
              <w:rPr>
                <w:sz w:val="18"/>
                <w:szCs w:val="18"/>
              </w:rPr>
              <w:t>对象认同</w:t>
            </w:r>
          </w:p>
        </w:tc>
        <w:tc>
          <w:tcPr>
            <w:tcW w:w="3402" w:type="dxa"/>
            <w:vAlign w:val="center"/>
          </w:tcPr>
          <w:p>
            <w:pPr>
              <w:jc w:val="left"/>
              <w:rPr>
                <w:rFonts w:ascii="宋体"/>
                <w:color w:val="000000"/>
                <w:sz w:val="18"/>
              </w:rPr>
            </w:pPr>
            <w:r>
              <w:rPr>
                <w:rFonts w:hint="eastAsia" w:ascii="宋体"/>
                <w:color w:val="000000"/>
                <w:sz w:val="18"/>
              </w:rPr>
              <w:t>服务对象对志愿服务组织的接受率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Merge w:val="continue"/>
            <w:vAlign w:val="center"/>
          </w:tcPr>
          <w:p>
            <w:pPr>
              <w:pStyle w:val="49"/>
              <w:ind w:left="64"/>
              <w:jc w:val="center"/>
              <w:rPr>
                <w:sz w:val="18"/>
                <w:szCs w:val="18"/>
              </w:rPr>
            </w:pPr>
          </w:p>
        </w:tc>
        <w:tc>
          <w:tcPr>
            <w:tcW w:w="1276" w:type="dxa"/>
            <w:vMerge w:val="continue"/>
            <w:vAlign w:val="center"/>
          </w:tcPr>
          <w:p>
            <w:pPr>
              <w:pStyle w:val="49"/>
              <w:ind w:left="74"/>
              <w:jc w:val="center"/>
              <w:rPr>
                <w:sz w:val="18"/>
                <w:szCs w:val="18"/>
              </w:rPr>
            </w:pPr>
          </w:p>
        </w:tc>
        <w:tc>
          <w:tcPr>
            <w:tcW w:w="1328" w:type="dxa"/>
            <w:vMerge w:val="continue"/>
            <w:vAlign w:val="center"/>
          </w:tcPr>
          <w:p>
            <w:pPr>
              <w:pStyle w:val="49"/>
              <w:ind w:left="0"/>
              <w:jc w:val="center"/>
              <w:rPr>
                <w:sz w:val="18"/>
                <w:szCs w:val="18"/>
              </w:rPr>
            </w:pPr>
          </w:p>
        </w:tc>
        <w:tc>
          <w:tcPr>
            <w:tcW w:w="3402" w:type="dxa"/>
            <w:vAlign w:val="center"/>
          </w:tcPr>
          <w:p>
            <w:pPr>
              <w:jc w:val="left"/>
              <w:rPr>
                <w:rFonts w:ascii="宋体"/>
                <w:color w:val="000000"/>
                <w:sz w:val="18"/>
              </w:rPr>
            </w:pPr>
            <w:r>
              <w:rPr>
                <w:rFonts w:hint="eastAsia" w:ascii="宋体"/>
                <w:color w:val="000000"/>
                <w:sz w:val="18"/>
              </w:rPr>
              <w:t>服务对象对志愿者服务的满意度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Merge w:val="continue"/>
            <w:vAlign w:val="center"/>
          </w:tcPr>
          <w:p>
            <w:pPr>
              <w:pStyle w:val="49"/>
              <w:ind w:left="64"/>
              <w:jc w:val="center"/>
              <w:rPr>
                <w:sz w:val="18"/>
                <w:szCs w:val="18"/>
              </w:rPr>
            </w:pPr>
          </w:p>
        </w:tc>
        <w:tc>
          <w:tcPr>
            <w:tcW w:w="1276" w:type="dxa"/>
            <w:vMerge w:val="continue"/>
            <w:vAlign w:val="center"/>
          </w:tcPr>
          <w:p>
            <w:pPr>
              <w:pStyle w:val="49"/>
              <w:ind w:left="74"/>
              <w:jc w:val="center"/>
              <w:rPr>
                <w:sz w:val="18"/>
                <w:szCs w:val="18"/>
              </w:rPr>
            </w:pPr>
          </w:p>
        </w:tc>
        <w:tc>
          <w:tcPr>
            <w:tcW w:w="1328" w:type="dxa"/>
            <w:vMerge w:val="continue"/>
            <w:vAlign w:val="center"/>
          </w:tcPr>
          <w:p>
            <w:pPr>
              <w:pStyle w:val="49"/>
              <w:ind w:left="0"/>
              <w:jc w:val="center"/>
              <w:rPr>
                <w:sz w:val="18"/>
                <w:szCs w:val="18"/>
              </w:rPr>
            </w:pPr>
          </w:p>
        </w:tc>
        <w:tc>
          <w:tcPr>
            <w:tcW w:w="3402" w:type="dxa"/>
            <w:vAlign w:val="center"/>
          </w:tcPr>
          <w:p>
            <w:pPr>
              <w:jc w:val="left"/>
              <w:rPr>
                <w:rFonts w:ascii="宋体"/>
                <w:color w:val="000000"/>
                <w:sz w:val="18"/>
              </w:rPr>
            </w:pPr>
            <w:r>
              <w:rPr>
                <w:rFonts w:hint="eastAsia" w:ascii="宋体"/>
                <w:color w:val="000000"/>
                <w:sz w:val="18"/>
              </w:rPr>
              <w:t>服务对象对志愿服务组织的满意度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Merge w:val="continue"/>
            <w:vAlign w:val="center"/>
          </w:tcPr>
          <w:p>
            <w:pPr>
              <w:pStyle w:val="49"/>
              <w:ind w:left="64"/>
              <w:jc w:val="center"/>
              <w:rPr>
                <w:sz w:val="18"/>
                <w:szCs w:val="18"/>
              </w:rPr>
            </w:pPr>
          </w:p>
        </w:tc>
        <w:tc>
          <w:tcPr>
            <w:tcW w:w="1276" w:type="dxa"/>
            <w:vMerge w:val="continue"/>
            <w:vAlign w:val="center"/>
          </w:tcPr>
          <w:p>
            <w:pPr>
              <w:pStyle w:val="49"/>
              <w:ind w:left="74"/>
              <w:jc w:val="center"/>
              <w:rPr>
                <w:sz w:val="18"/>
                <w:szCs w:val="18"/>
              </w:rPr>
            </w:pPr>
          </w:p>
        </w:tc>
        <w:tc>
          <w:tcPr>
            <w:tcW w:w="1328" w:type="dxa"/>
            <w:vMerge w:val="restart"/>
            <w:vAlign w:val="center"/>
          </w:tcPr>
          <w:p>
            <w:pPr>
              <w:pStyle w:val="49"/>
              <w:numPr>
                <w:ilvl w:val="1"/>
                <w:numId w:val="0"/>
              </w:numPr>
              <w:jc w:val="center"/>
              <w:rPr>
                <w:sz w:val="18"/>
                <w:szCs w:val="18"/>
              </w:rPr>
            </w:pPr>
            <w:r>
              <w:rPr>
                <w:rFonts w:hint="eastAsia"/>
                <w:sz w:val="18"/>
                <w:szCs w:val="18"/>
              </w:rPr>
              <w:t>志愿者</w:t>
            </w:r>
            <w:r>
              <w:rPr>
                <w:sz w:val="18"/>
                <w:szCs w:val="18"/>
              </w:rPr>
              <w:t>认同</w:t>
            </w:r>
          </w:p>
        </w:tc>
        <w:tc>
          <w:tcPr>
            <w:tcW w:w="3402" w:type="dxa"/>
            <w:vAlign w:val="center"/>
          </w:tcPr>
          <w:p>
            <w:pPr>
              <w:jc w:val="left"/>
              <w:rPr>
                <w:rFonts w:ascii="宋体"/>
                <w:color w:val="000000"/>
                <w:sz w:val="18"/>
              </w:rPr>
            </w:pPr>
            <w:r>
              <w:rPr>
                <w:rFonts w:hint="eastAsia" w:ascii="宋体"/>
                <w:color w:val="000000"/>
                <w:sz w:val="18"/>
              </w:rPr>
              <w:t>志愿服务组织的志愿者流失率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Merge w:val="continue"/>
            <w:vAlign w:val="center"/>
          </w:tcPr>
          <w:p>
            <w:pPr>
              <w:pStyle w:val="49"/>
              <w:ind w:left="64"/>
              <w:jc w:val="center"/>
              <w:rPr>
                <w:sz w:val="18"/>
                <w:szCs w:val="18"/>
              </w:rPr>
            </w:pPr>
          </w:p>
        </w:tc>
        <w:tc>
          <w:tcPr>
            <w:tcW w:w="1276" w:type="dxa"/>
            <w:vMerge w:val="continue"/>
            <w:vAlign w:val="center"/>
          </w:tcPr>
          <w:p>
            <w:pPr>
              <w:pStyle w:val="49"/>
              <w:ind w:left="74"/>
              <w:jc w:val="center"/>
              <w:rPr>
                <w:sz w:val="18"/>
                <w:szCs w:val="18"/>
              </w:rPr>
            </w:pPr>
          </w:p>
        </w:tc>
        <w:tc>
          <w:tcPr>
            <w:tcW w:w="1328" w:type="dxa"/>
            <w:vMerge w:val="continue"/>
            <w:vAlign w:val="center"/>
          </w:tcPr>
          <w:p>
            <w:pPr>
              <w:pStyle w:val="49"/>
              <w:ind w:left="0"/>
              <w:jc w:val="center"/>
              <w:rPr>
                <w:sz w:val="18"/>
                <w:szCs w:val="18"/>
              </w:rPr>
            </w:pPr>
          </w:p>
        </w:tc>
        <w:tc>
          <w:tcPr>
            <w:tcW w:w="3402" w:type="dxa"/>
            <w:vAlign w:val="center"/>
          </w:tcPr>
          <w:p>
            <w:pPr>
              <w:jc w:val="left"/>
              <w:rPr>
                <w:rFonts w:ascii="宋体"/>
                <w:color w:val="000000"/>
                <w:sz w:val="18"/>
              </w:rPr>
            </w:pPr>
            <w:r>
              <w:rPr>
                <w:rFonts w:hint="eastAsia" w:ascii="宋体"/>
                <w:color w:val="000000"/>
                <w:sz w:val="18"/>
              </w:rPr>
              <w:t>志愿者的投诉率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Merge w:val="continue"/>
            <w:vAlign w:val="center"/>
          </w:tcPr>
          <w:p>
            <w:pPr>
              <w:pStyle w:val="49"/>
              <w:ind w:left="64"/>
              <w:jc w:val="center"/>
              <w:rPr>
                <w:sz w:val="18"/>
                <w:szCs w:val="18"/>
              </w:rPr>
            </w:pPr>
          </w:p>
        </w:tc>
        <w:tc>
          <w:tcPr>
            <w:tcW w:w="1276" w:type="dxa"/>
            <w:vMerge w:val="continue"/>
            <w:vAlign w:val="center"/>
          </w:tcPr>
          <w:p>
            <w:pPr>
              <w:pStyle w:val="49"/>
              <w:ind w:left="74"/>
              <w:jc w:val="center"/>
              <w:rPr>
                <w:sz w:val="18"/>
                <w:szCs w:val="18"/>
              </w:rPr>
            </w:pPr>
          </w:p>
        </w:tc>
        <w:tc>
          <w:tcPr>
            <w:tcW w:w="1328" w:type="dxa"/>
            <w:vMerge w:val="restart"/>
            <w:vAlign w:val="center"/>
          </w:tcPr>
          <w:p>
            <w:pPr>
              <w:pStyle w:val="49"/>
              <w:numPr>
                <w:ilvl w:val="1"/>
                <w:numId w:val="0"/>
              </w:numPr>
              <w:jc w:val="center"/>
              <w:rPr>
                <w:sz w:val="18"/>
                <w:szCs w:val="18"/>
              </w:rPr>
            </w:pPr>
            <w:r>
              <w:rPr>
                <w:rFonts w:hint="eastAsia"/>
                <w:sz w:val="18"/>
                <w:szCs w:val="18"/>
              </w:rPr>
              <w:t>公众</w:t>
            </w:r>
            <w:r>
              <w:rPr>
                <w:sz w:val="18"/>
                <w:szCs w:val="18"/>
              </w:rPr>
              <w:t>认同</w:t>
            </w:r>
          </w:p>
        </w:tc>
        <w:tc>
          <w:tcPr>
            <w:tcW w:w="3402" w:type="dxa"/>
            <w:vAlign w:val="center"/>
          </w:tcPr>
          <w:p>
            <w:pPr>
              <w:jc w:val="left"/>
              <w:rPr>
                <w:rFonts w:ascii="宋体"/>
                <w:color w:val="000000"/>
                <w:sz w:val="18"/>
              </w:rPr>
            </w:pPr>
            <w:r>
              <w:rPr>
                <w:rFonts w:hint="eastAsia" w:ascii="宋体"/>
                <w:color w:val="000000"/>
                <w:sz w:val="18"/>
              </w:rPr>
              <w:t>获得政府相关部门奖励的次数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Merge w:val="continue"/>
            <w:vAlign w:val="center"/>
          </w:tcPr>
          <w:p>
            <w:pPr>
              <w:pStyle w:val="49"/>
              <w:ind w:left="64"/>
              <w:jc w:val="center"/>
              <w:rPr>
                <w:sz w:val="18"/>
                <w:szCs w:val="18"/>
              </w:rPr>
            </w:pPr>
          </w:p>
        </w:tc>
        <w:tc>
          <w:tcPr>
            <w:tcW w:w="1276" w:type="dxa"/>
            <w:vMerge w:val="continue"/>
            <w:vAlign w:val="center"/>
          </w:tcPr>
          <w:p>
            <w:pPr>
              <w:pStyle w:val="49"/>
              <w:ind w:left="74"/>
              <w:jc w:val="center"/>
              <w:rPr>
                <w:sz w:val="18"/>
                <w:szCs w:val="18"/>
              </w:rPr>
            </w:pPr>
          </w:p>
        </w:tc>
        <w:tc>
          <w:tcPr>
            <w:tcW w:w="1328" w:type="dxa"/>
            <w:vMerge w:val="continue"/>
            <w:vAlign w:val="center"/>
          </w:tcPr>
          <w:p>
            <w:pPr>
              <w:pStyle w:val="49"/>
              <w:ind w:left="0"/>
              <w:jc w:val="center"/>
              <w:rPr>
                <w:sz w:val="18"/>
                <w:szCs w:val="18"/>
              </w:rPr>
            </w:pPr>
          </w:p>
        </w:tc>
        <w:tc>
          <w:tcPr>
            <w:tcW w:w="3402" w:type="dxa"/>
            <w:vAlign w:val="center"/>
          </w:tcPr>
          <w:p>
            <w:pPr>
              <w:jc w:val="left"/>
              <w:rPr>
                <w:rFonts w:ascii="宋体"/>
                <w:color w:val="000000"/>
                <w:sz w:val="18"/>
              </w:rPr>
            </w:pPr>
            <w:r>
              <w:rPr>
                <w:rFonts w:hint="eastAsia" w:ascii="宋体"/>
                <w:color w:val="000000"/>
                <w:sz w:val="18"/>
              </w:rPr>
              <w:t>媒体对志愿服务组织的正面报道次数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Merge w:val="continue"/>
            <w:vAlign w:val="center"/>
          </w:tcPr>
          <w:p>
            <w:pPr>
              <w:pStyle w:val="49"/>
              <w:ind w:left="64"/>
              <w:jc w:val="center"/>
              <w:rPr>
                <w:sz w:val="18"/>
                <w:szCs w:val="18"/>
              </w:rPr>
            </w:pPr>
          </w:p>
        </w:tc>
        <w:tc>
          <w:tcPr>
            <w:tcW w:w="1276" w:type="dxa"/>
            <w:vMerge w:val="continue"/>
            <w:vAlign w:val="center"/>
          </w:tcPr>
          <w:p>
            <w:pPr>
              <w:pStyle w:val="49"/>
              <w:ind w:left="74"/>
              <w:jc w:val="center"/>
              <w:rPr>
                <w:sz w:val="18"/>
                <w:szCs w:val="18"/>
              </w:rPr>
            </w:pPr>
          </w:p>
        </w:tc>
        <w:tc>
          <w:tcPr>
            <w:tcW w:w="1328" w:type="dxa"/>
            <w:vMerge w:val="continue"/>
            <w:vAlign w:val="center"/>
          </w:tcPr>
          <w:p>
            <w:pPr>
              <w:pStyle w:val="49"/>
              <w:ind w:left="0"/>
              <w:jc w:val="center"/>
              <w:rPr>
                <w:sz w:val="18"/>
                <w:szCs w:val="18"/>
              </w:rPr>
            </w:pPr>
          </w:p>
        </w:tc>
        <w:tc>
          <w:tcPr>
            <w:tcW w:w="3402" w:type="dxa"/>
            <w:vAlign w:val="center"/>
          </w:tcPr>
          <w:p>
            <w:pPr>
              <w:jc w:val="left"/>
              <w:rPr>
                <w:rFonts w:ascii="宋体"/>
                <w:sz w:val="18"/>
              </w:rPr>
            </w:pPr>
            <w:r>
              <w:rPr>
                <w:rFonts w:hint="eastAsia" w:ascii="宋体"/>
                <w:sz w:val="18"/>
              </w:rPr>
              <w:t>志愿服务资金或物资的社会捐赠额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23" w:type="dxa"/>
            <w:vAlign w:val="center"/>
          </w:tcPr>
          <w:p>
            <w:pPr>
              <w:pStyle w:val="49"/>
              <w:numPr>
                <w:ilvl w:val="1"/>
                <w:numId w:val="0"/>
              </w:numPr>
              <w:ind w:left="64"/>
              <w:rPr>
                <w:sz w:val="18"/>
                <w:szCs w:val="18"/>
              </w:rPr>
            </w:pPr>
            <w:r>
              <w:rPr>
                <w:rFonts w:hint="eastAsia"/>
                <w:sz w:val="18"/>
                <w:szCs w:val="18"/>
              </w:rPr>
              <w:t>3</w:t>
            </w:r>
          </w:p>
        </w:tc>
        <w:tc>
          <w:tcPr>
            <w:tcW w:w="1276" w:type="dxa"/>
            <w:vAlign w:val="center"/>
          </w:tcPr>
          <w:p>
            <w:pPr>
              <w:pStyle w:val="49"/>
              <w:numPr>
                <w:ilvl w:val="1"/>
                <w:numId w:val="0"/>
              </w:numPr>
              <w:ind w:left="74"/>
              <w:rPr>
                <w:sz w:val="18"/>
                <w:szCs w:val="18"/>
              </w:rPr>
            </w:pPr>
            <w:r>
              <w:rPr>
                <w:rFonts w:hint="eastAsia"/>
                <w:sz w:val="18"/>
                <w:szCs w:val="18"/>
              </w:rPr>
              <w:t>信用</w:t>
            </w:r>
            <w:r>
              <w:rPr>
                <w:sz w:val="18"/>
                <w:szCs w:val="18"/>
              </w:rPr>
              <w:t>与荣誉</w:t>
            </w:r>
          </w:p>
        </w:tc>
        <w:tc>
          <w:tcPr>
            <w:tcW w:w="1328" w:type="dxa"/>
            <w:vAlign w:val="center"/>
          </w:tcPr>
          <w:p>
            <w:pPr>
              <w:pStyle w:val="49"/>
              <w:numPr>
                <w:ilvl w:val="1"/>
                <w:numId w:val="0"/>
              </w:numPr>
              <w:jc w:val="center"/>
              <w:rPr>
                <w:sz w:val="18"/>
                <w:szCs w:val="18"/>
              </w:rPr>
            </w:pPr>
            <w:r>
              <w:rPr>
                <w:rFonts w:hint="eastAsia"/>
                <w:sz w:val="18"/>
                <w:szCs w:val="18"/>
              </w:rPr>
              <w:t>信用</w:t>
            </w:r>
          </w:p>
        </w:tc>
        <w:tc>
          <w:tcPr>
            <w:tcW w:w="3402" w:type="dxa"/>
            <w:vAlign w:val="center"/>
          </w:tcPr>
          <w:p>
            <w:pPr>
              <w:jc w:val="left"/>
              <w:rPr>
                <w:rFonts w:ascii="宋体"/>
                <w:sz w:val="18"/>
              </w:rPr>
            </w:pPr>
            <w:r>
              <w:rPr>
                <w:rFonts w:hint="eastAsia" w:ascii="宋体"/>
                <w:sz w:val="18"/>
              </w:rPr>
              <w:t>具有志愿者、志愿服务对象隐私保护措施</w:t>
            </w:r>
          </w:p>
        </w:tc>
      </w:tr>
    </w:tbl>
    <w:p>
      <w:pPr>
        <w:pStyle w:val="96"/>
        <w:spacing w:before="156" w:after="156"/>
      </w:pPr>
      <w:r>
        <w:rPr>
          <w:rFonts w:hint="eastAsia"/>
        </w:rPr>
        <w:t>给出</w:t>
      </w:r>
      <w:r>
        <w:t>评价模块权重</w:t>
      </w:r>
    </w:p>
    <w:p>
      <w:pPr>
        <w:pStyle w:val="21"/>
      </w:pPr>
      <w:r>
        <w:rPr>
          <w:rFonts w:hint="eastAsia"/>
        </w:rPr>
        <w:t>根据本次</w:t>
      </w:r>
      <w:r>
        <w:t>评价的目的</w:t>
      </w:r>
      <w:r>
        <w:rPr>
          <w:rFonts w:hint="eastAsia"/>
        </w:rPr>
        <w:t>给出评价</w:t>
      </w:r>
      <w:r>
        <w:t>模块权重</w:t>
      </w:r>
      <w:r>
        <w:rPr>
          <w:rFonts w:hint="eastAsia"/>
        </w:rPr>
        <w:t>，</w:t>
      </w:r>
      <w:r>
        <w:t>具体见表B.2。</w:t>
      </w:r>
    </w:p>
    <w:p>
      <w:pPr>
        <w:pStyle w:val="81"/>
        <w:spacing w:before="156" w:after="156"/>
      </w:pPr>
      <w:r>
        <w:rPr>
          <w:rFonts w:hint="eastAsia"/>
        </w:rPr>
        <w:t>评价</w:t>
      </w:r>
      <w:r>
        <w:t>模块权重</w:t>
      </w:r>
      <w:r>
        <w:rPr>
          <w:rFonts w:hint="eastAsia"/>
        </w:rPr>
        <w:t>示例</w:t>
      </w:r>
    </w:p>
    <w:tbl>
      <w:tblPr>
        <w:tblStyle w:val="35"/>
        <w:tblW w:w="2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75"/>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75" w:type="dxa"/>
            <w:vAlign w:val="center"/>
          </w:tcPr>
          <w:p>
            <w:pPr>
              <w:pStyle w:val="49"/>
              <w:numPr>
                <w:ilvl w:val="1"/>
                <w:numId w:val="0"/>
              </w:numPr>
              <w:jc w:val="center"/>
              <w:rPr>
                <w:b/>
                <w:sz w:val="18"/>
                <w:szCs w:val="18"/>
              </w:rPr>
            </w:pPr>
            <w:r>
              <w:rPr>
                <w:rFonts w:hint="eastAsia"/>
                <w:b/>
                <w:sz w:val="18"/>
                <w:szCs w:val="18"/>
              </w:rPr>
              <w:t>序号</w:t>
            </w:r>
          </w:p>
        </w:tc>
        <w:tc>
          <w:tcPr>
            <w:tcW w:w="1134" w:type="dxa"/>
            <w:vAlign w:val="center"/>
          </w:tcPr>
          <w:p>
            <w:pPr>
              <w:pStyle w:val="49"/>
              <w:numPr>
                <w:ilvl w:val="1"/>
                <w:numId w:val="0"/>
              </w:numPr>
              <w:jc w:val="center"/>
              <w:rPr>
                <w:b/>
                <w:sz w:val="18"/>
                <w:szCs w:val="18"/>
              </w:rPr>
            </w:pPr>
            <w:r>
              <w:rPr>
                <w:rFonts w:hint="eastAsia"/>
                <w:b/>
                <w:sz w:val="18"/>
                <w:szCs w:val="18"/>
              </w:rPr>
              <w:t>评价</w:t>
            </w:r>
            <w:r>
              <w:rPr>
                <w:b/>
                <w:sz w:val="18"/>
                <w:szCs w:val="18"/>
              </w:rPr>
              <w:t>模块</w:t>
            </w:r>
          </w:p>
        </w:tc>
        <w:tc>
          <w:tcPr>
            <w:tcW w:w="1134" w:type="dxa"/>
            <w:vAlign w:val="center"/>
          </w:tcPr>
          <w:p>
            <w:pPr>
              <w:pStyle w:val="49"/>
              <w:numPr>
                <w:ilvl w:val="1"/>
                <w:numId w:val="0"/>
              </w:numPr>
              <w:jc w:val="center"/>
              <w:rPr>
                <w:b/>
                <w:sz w:val="18"/>
                <w:szCs w:val="18"/>
              </w:rPr>
            </w:pPr>
            <w:r>
              <w:rPr>
                <w:rFonts w:hint="eastAsia"/>
                <w:b/>
                <w:sz w:val="18"/>
                <w:szCs w:val="18"/>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46" w:hRule="atLeast"/>
          <w:jc w:val="center"/>
        </w:trPr>
        <w:tc>
          <w:tcPr>
            <w:tcW w:w="675" w:type="dxa"/>
            <w:vAlign w:val="center"/>
          </w:tcPr>
          <w:p>
            <w:pPr>
              <w:pStyle w:val="49"/>
              <w:numPr>
                <w:ilvl w:val="1"/>
                <w:numId w:val="0"/>
              </w:numPr>
              <w:jc w:val="center"/>
              <w:rPr>
                <w:sz w:val="18"/>
                <w:szCs w:val="18"/>
              </w:rPr>
            </w:pPr>
            <w:r>
              <w:rPr>
                <w:rFonts w:hint="eastAsia"/>
                <w:sz w:val="18"/>
                <w:szCs w:val="18"/>
              </w:rPr>
              <w:t>1</w:t>
            </w:r>
          </w:p>
        </w:tc>
        <w:tc>
          <w:tcPr>
            <w:tcW w:w="1134" w:type="dxa"/>
            <w:vAlign w:val="center"/>
          </w:tcPr>
          <w:p>
            <w:pPr>
              <w:pStyle w:val="49"/>
              <w:numPr>
                <w:ilvl w:val="1"/>
                <w:numId w:val="0"/>
              </w:numPr>
              <w:jc w:val="center"/>
              <w:rPr>
                <w:sz w:val="18"/>
                <w:szCs w:val="18"/>
              </w:rPr>
            </w:pPr>
            <w:r>
              <w:rPr>
                <w:rFonts w:hint="eastAsia"/>
                <w:sz w:val="18"/>
                <w:szCs w:val="18"/>
              </w:rPr>
              <w:t>基础</w:t>
            </w:r>
            <w:r>
              <w:rPr>
                <w:sz w:val="18"/>
                <w:szCs w:val="18"/>
              </w:rPr>
              <w:t>条件</w:t>
            </w:r>
          </w:p>
        </w:tc>
        <w:tc>
          <w:tcPr>
            <w:tcW w:w="1134" w:type="dxa"/>
            <w:vAlign w:val="center"/>
          </w:tcPr>
          <w:p>
            <w:pPr>
              <w:pStyle w:val="49"/>
              <w:numPr>
                <w:ilvl w:val="1"/>
                <w:numId w:val="0"/>
              </w:numPr>
              <w:jc w:val="center"/>
              <w:rPr>
                <w:sz w:val="18"/>
                <w:szCs w:val="18"/>
              </w:rPr>
            </w:pPr>
            <w:r>
              <w:rPr>
                <w:sz w:val="18"/>
                <w:szCs w:val="18"/>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0" w:hRule="atLeast"/>
          <w:jc w:val="center"/>
        </w:trPr>
        <w:tc>
          <w:tcPr>
            <w:tcW w:w="675" w:type="dxa"/>
            <w:vAlign w:val="center"/>
          </w:tcPr>
          <w:p>
            <w:pPr>
              <w:pStyle w:val="49"/>
              <w:numPr>
                <w:ilvl w:val="1"/>
                <w:numId w:val="0"/>
              </w:numPr>
              <w:jc w:val="center"/>
              <w:rPr>
                <w:sz w:val="18"/>
                <w:szCs w:val="18"/>
              </w:rPr>
            </w:pPr>
            <w:r>
              <w:rPr>
                <w:rFonts w:hint="eastAsia"/>
                <w:sz w:val="18"/>
                <w:szCs w:val="18"/>
              </w:rPr>
              <w:t>2</w:t>
            </w:r>
          </w:p>
        </w:tc>
        <w:tc>
          <w:tcPr>
            <w:tcW w:w="1134" w:type="dxa"/>
            <w:vAlign w:val="center"/>
          </w:tcPr>
          <w:p>
            <w:pPr>
              <w:pStyle w:val="49"/>
              <w:numPr>
                <w:ilvl w:val="1"/>
                <w:numId w:val="0"/>
              </w:numPr>
              <w:jc w:val="center"/>
              <w:rPr>
                <w:sz w:val="18"/>
                <w:szCs w:val="18"/>
              </w:rPr>
            </w:pPr>
            <w:r>
              <w:rPr>
                <w:rFonts w:hint="eastAsia"/>
                <w:sz w:val="18"/>
                <w:szCs w:val="18"/>
              </w:rPr>
              <w:t>服务</w:t>
            </w:r>
            <w:r>
              <w:rPr>
                <w:sz w:val="18"/>
                <w:szCs w:val="18"/>
              </w:rPr>
              <w:t>效果</w:t>
            </w:r>
          </w:p>
        </w:tc>
        <w:tc>
          <w:tcPr>
            <w:tcW w:w="1134" w:type="dxa"/>
            <w:vAlign w:val="center"/>
          </w:tcPr>
          <w:p>
            <w:pPr>
              <w:pStyle w:val="49"/>
              <w:numPr>
                <w:ilvl w:val="1"/>
                <w:numId w:val="0"/>
              </w:numPr>
              <w:jc w:val="center"/>
              <w:rPr>
                <w:sz w:val="18"/>
                <w:szCs w:val="18"/>
              </w:rPr>
            </w:pPr>
            <w:r>
              <w:rPr>
                <w:rFonts w:hint="eastAsia"/>
                <w:sz w:val="18"/>
                <w:szCs w:val="18"/>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675" w:type="dxa"/>
            <w:vAlign w:val="center"/>
          </w:tcPr>
          <w:p>
            <w:pPr>
              <w:pStyle w:val="49"/>
              <w:numPr>
                <w:ilvl w:val="1"/>
                <w:numId w:val="0"/>
              </w:numPr>
              <w:jc w:val="center"/>
              <w:rPr>
                <w:sz w:val="18"/>
                <w:szCs w:val="18"/>
              </w:rPr>
            </w:pPr>
            <w:r>
              <w:rPr>
                <w:rFonts w:hint="eastAsia"/>
                <w:sz w:val="18"/>
                <w:szCs w:val="18"/>
              </w:rPr>
              <w:t>3</w:t>
            </w:r>
          </w:p>
        </w:tc>
        <w:tc>
          <w:tcPr>
            <w:tcW w:w="1134" w:type="dxa"/>
            <w:vAlign w:val="center"/>
          </w:tcPr>
          <w:p>
            <w:pPr>
              <w:pStyle w:val="49"/>
              <w:numPr>
                <w:ilvl w:val="1"/>
                <w:numId w:val="0"/>
              </w:numPr>
              <w:jc w:val="center"/>
              <w:rPr>
                <w:sz w:val="18"/>
                <w:szCs w:val="18"/>
              </w:rPr>
            </w:pPr>
            <w:r>
              <w:rPr>
                <w:rFonts w:hint="eastAsia"/>
                <w:sz w:val="18"/>
                <w:szCs w:val="18"/>
              </w:rPr>
              <w:t>信用</w:t>
            </w:r>
            <w:r>
              <w:rPr>
                <w:sz w:val="18"/>
                <w:szCs w:val="18"/>
              </w:rPr>
              <w:t>与荣誉</w:t>
            </w:r>
          </w:p>
        </w:tc>
        <w:tc>
          <w:tcPr>
            <w:tcW w:w="1134" w:type="dxa"/>
            <w:vAlign w:val="center"/>
          </w:tcPr>
          <w:p>
            <w:pPr>
              <w:pStyle w:val="49"/>
              <w:numPr>
                <w:ilvl w:val="1"/>
                <w:numId w:val="0"/>
              </w:numPr>
              <w:jc w:val="center"/>
              <w:rPr>
                <w:sz w:val="18"/>
                <w:szCs w:val="18"/>
              </w:rPr>
            </w:pPr>
            <w:r>
              <w:rPr>
                <w:rFonts w:hint="eastAsia"/>
                <w:sz w:val="18"/>
                <w:szCs w:val="18"/>
              </w:rPr>
              <w:t>0.2</w:t>
            </w:r>
          </w:p>
        </w:tc>
      </w:tr>
    </w:tbl>
    <w:p>
      <w:pPr>
        <w:pStyle w:val="96"/>
        <w:spacing w:before="156" w:after="156"/>
      </w:pPr>
      <w:r>
        <w:rPr>
          <w:rFonts w:hint="eastAsia"/>
        </w:rPr>
        <w:t>给出</w:t>
      </w:r>
      <w:r>
        <w:t>评价要素打分规则</w:t>
      </w:r>
    </w:p>
    <w:p>
      <w:pPr>
        <w:pStyle w:val="21"/>
      </w:pPr>
      <w:r>
        <w:rPr>
          <w:rFonts w:hint="eastAsia"/>
        </w:rPr>
        <w:t>评价</w:t>
      </w:r>
      <w:r>
        <w:t>要素打分分为</w:t>
      </w:r>
      <w:r>
        <w:rPr>
          <w:rFonts w:hint="eastAsia"/>
        </w:rPr>
        <w:t>如下两</w:t>
      </w:r>
      <w:r>
        <w:t>种情况</w:t>
      </w:r>
      <w:r>
        <w:rPr>
          <w:rFonts w:hint="eastAsia"/>
        </w:rPr>
        <w:t>：</w:t>
      </w:r>
    </w:p>
    <w:p>
      <w:pPr>
        <w:pStyle w:val="54"/>
        <w:numPr>
          <w:ilvl w:val="0"/>
          <w:numId w:val="51"/>
        </w:numPr>
      </w:pPr>
      <w:r>
        <w:rPr>
          <w:rFonts w:hint="eastAsia"/>
        </w:rPr>
        <w:t>定性</w:t>
      </w:r>
      <w:r>
        <w:t>要素打分</w:t>
      </w:r>
      <w:r>
        <w:rPr>
          <w:rFonts w:hint="eastAsia"/>
        </w:rPr>
        <w:t>：打分</w:t>
      </w:r>
      <w:r>
        <w:t>为</w:t>
      </w:r>
      <w:r>
        <w:rPr>
          <w:rFonts w:hint="eastAsia"/>
        </w:rPr>
        <w:t>1或0，</w:t>
      </w:r>
      <w:r>
        <w:t>符合要求时</w:t>
      </w:r>
      <w:r>
        <w:rPr>
          <w:rFonts w:hint="eastAsia"/>
        </w:rPr>
        <w:t>打1分，</w:t>
      </w:r>
      <w:r>
        <w:t>不符合要求时</w:t>
      </w:r>
      <w:r>
        <w:rPr>
          <w:rFonts w:hint="eastAsia"/>
        </w:rPr>
        <w:t>打0分；</w:t>
      </w:r>
    </w:p>
    <w:p>
      <w:pPr>
        <w:pStyle w:val="47"/>
        <w:ind w:left="1417" w:leftChars="405" w:hanging="567"/>
      </w:pPr>
      <w:r>
        <w:rPr>
          <w:rFonts w:hint="eastAsia"/>
        </w:rPr>
        <w:t>针对</w:t>
      </w:r>
      <w:r>
        <w:t>“建立党的组织”</w:t>
      </w:r>
      <w:r>
        <w:rPr>
          <w:rFonts w:hint="eastAsia"/>
        </w:rPr>
        <w:t>评价</w:t>
      </w:r>
      <w:r>
        <w:t>要素打分，如该志愿服务组织</w:t>
      </w:r>
      <w:r>
        <w:rPr>
          <w:rFonts w:hint="eastAsia"/>
        </w:rPr>
        <w:t>内部设立</w:t>
      </w:r>
      <w:r>
        <w:t>了党的组织，则此项打</w:t>
      </w:r>
      <w:r>
        <w:rPr>
          <w:rFonts w:hint="eastAsia"/>
        </w:rPr>
        <w:t>1分</w:t>
      </w:r>
      <w:r>
        <w:t>，如未设立，则打</w:t>
      </w:r>
      <w:r>
        <w:rPr>
          <w:rFonts w:hint="eastAsia"/>
        </w:rPr>
        <w:t>0分</w:t>
      </w:r>
      <w:r>
        <w:t>。</w:t>
      </w:r>
    </w:p>
    <w:p>
      <w:pPr>
        <w:pStyle w:val="54"/>
        <w:numPr>
          <w:ilvl w:val="0"/>
          <w:numId w:val="51"/>
        </w:numPr>
      </w:pPr>
      <w:r>
        <w:rPr>
          <w:rFonts w:hint="eastAsia"/>
        </w:rPr>
        <w:t>定量要素</w:t>
      </w:r>
      <w:r>
        <w:t>打分</w:t>
      </w:r>
      <w:r>
        <w:rPr>
          <w:rFonts w:hint="eastAsia"/>
        </w:rPr>
        <w:t>：</w:t>
      </w:r>
      <w:r>
        <w:t>打分为</w:t>
      </w:r>
      <w:r>
        <w:rPr>
          <w:rFonts w:hint="eastAsia"/>
        </w:rPr>
        <w:t>0～</w:t>
      </w:r>
      <w:r>
        <w:t>1</w:t>
      </w:r>
      <w:r>
        <w:rPr>
          <w:rFonts w:hint="eastAsia"/>
        </w:rPr>
        <w:t>之间，根据</w:t>
      </w:r>
      <w:r>
        <w:t>实际设立的</w:t>
      </w:r>
      <w:r>
        <w:rPr>
          <w:rFonts w:hint="eastAsia"/>
        </w:rPr>
        <w:t>打分</w:t>
      </w:r>
      <w:r>
        <w:t>规则给出具体</w:t>
      </w:r>
      <w:r>
        <w:rPr>
          <w:rFonts w:hint="eastAsia"/>
        </w:rPr>
        <w:t>分值</w:t>
      </w:r>
      <w:r>
        <w:t>。</w:t>
      </w:r>
    </w:p>
    <w:p>
      <w:pPr>
        <w:pStyle w:val="57"/>
        <w:ind w:left="1417" w:leftChars="405" w:hanging="567"/>
      </w:pPr>
      <w:r>
        <w:rPr>
          <w:rFonts w:hint="eastAsia"/>
        </w:rPr>
        <w:t>针对</w:t>
      </w:r>
      <w:r>
        <w:t>“</w:t>
      </w:r>
      <w:r>
        <w:rPr>
          <w:rFonts w:hint="eastAsia"/>
        </w:rPr>
        <w:t>服务对象对志愿者服务的满意度</w:t>
      </w:r>
      <w:r>
        <w:t>”</w:t>
      </w:r>
      <w:r>
        <w:rPr>
          <w:rFonts w:hint="eastAsia"/>
        </w:rPr>
        <w:t>评价</w:t>
      </w:r>
      <w:r>
        <w:t>要素打分</w:t>
      </w:r>
      <w:r>
        <w:rPr>
          <w:rFonts w:hint="eastAsia"/>
        </w:rPr>
        <w:t>，如满意度</w:t>
      </w:r>
      <w:r>
        <w:t>为</w:t>
      </w:r>
      <w:r>
        <w:rPr>
          <w:rFonts w:hint="eastAsia"/>
        </w:rPr>
        <w:t>30</w:t>
      </w:r>
      <w:r>
        <w:t>%</w:t>
      </w:r>
      <w:r>
        <w:rPr>
          <w:rFonts w:hint="eastAsia"/>
        </w:rPr>
        <w:t>以下，</w:t>
      </w:r>
      <w:r>
        <w:t>则</w:t>
      </w:r>
      <w:r>
        <w:rPr>
          <w:rFonts w:hint="eastAsia"/>
        </w:rPr>
        <w:t>打0分；</w:t>
      </w:r>
      <w:r>
        <w:t>满意度在</w:t>
      </w:r>
      <w:r>
        <w:rPr>
          <w:rFonts w:hint="eastAsia"/>
        </w:rPr>
        <w:t>31</w:t>
      </w:r>
      <w:r>
        <w:t>%</w:t>
      </w:r>
      <w:r>
        <w:rPr>
          <w:rFonts w:hint="eastAsia"/>
        </w:rPr>
        <w:t>～</w:t>
      </w:r>
      <w:r>
        <w:t>60%</w:t>
      </w:r>
      <w:r>
        <w:rPr>
          <w:rFonts w:hint="eastAsia"/>
        </w:rPr>
        <w:t>之间打0.5分；</w:t>
      </w:r>
      <w:r>
        <w:t>满意度在</w:t>
      </w:r>
      <w:r>
        <w:rPr>
          <w:rFonts w:hint="eastAsia"/>
        </w:rPr>
        <w:t>61</w:t>
      </w:r>
      <w:r>
        <w:t>%</w:t>
      </w:r>
      <w:r>
        <w:rPr>
          <w:rFonts w:hint="eastAsia"/>
        </w:rPr>
        <w:t>～</w:t>
      </w:r>
      <w:r>
        <w:t>85%</w:t>
      </w:r>
      <w:r>
        <w:rPr>
          <w:rFonts w:hint="eastAsia"/>
        </w:rPr>
        <w:t>之间打0.8分；</w:t>
      </w:r>
      <w:r>
        <w:t>满意度</w:t>
      </w:r>
      <w:r>
        <w:rPr>
          <w:rFonts w:hint="eastAsia"/>
        </w:rPr>
        <w:t>在85</w:t>
      </w:r>
      <w:r>
        <w:t>%</w:t>
      </w:r>
      <w:r>
        <w:rPr>
          <w:rFonts w:hint="eastAsia"/>
        </w:rPr>
        <w:t>以上</w:t>
      </w:r>
      <w:r>
        <w:t>时</w:t>
      </w:r>
      <w:r>
        <w:rPr>
          <w:rFonts w:hint="eastAsia"/>
        </w:rPr>
        <w:t>打1分。</w:t>
      </w:r>
    </w:p>
    <w:p>
      <w:pPr>
        <w:pStyle w:val="57"/>
        <w:ind w:left="1557" w:leftChars="405" w:hanging="707"/>
      </w:pPr>
      <w:r>
        <w:rPr>
          <w:rFonts w:hint="eastAsia"/>
        </w:rPr>
        <w:t>针对</w:t>
      </w:r>
      <w:r>
        <w:t>“</w:t>
      </w:r>
      <w:r>
        <w:rPr>
          <w:rFonts w:hint="eastAsia"/>
        </w:rPr>
        <w:t>志愿者</w:t>
      </w:r>
      <w:r>
        <w:t>的投诉率”</w:t>
      </w:r>
      <w:r>
        <w:rPr>
          <w:rFonts w:hint="eastAsia"/>
        </w:rPr>
        <w:t>评价</w:t>
      </w:r>
      <w:r>
        <w:t>要素打分，</w:t>
      </w:r>
      <w:r>
        <w:rPr>
          <w:rFonts w:hint="eastAsia"/>
        </w:rPr>
        <w:t>如</w:t>
      </w:r>
      <w:r>
        <w:t>投诉率</w:t>
      </w:r>
      <w:r>
        <w:rPr>
          <w:rFonts w:hint="eastAsia"/>
        </w:rPr>
        <w:t>在10</w:t>
      </w:r>
      <w:r>
        <w:t>%以下</w:t>
      </w:r>
      <w:r>
        <w:rPr>
          <w:rFonts w:hint="eastAsia"/>
        </w:rPr>
        <w:t>，</w:t>
      </w:r>
      <w:r>
        <w:t>则打1</w:t>
      </w:r>
      <w:r>
        <w:rPr>
          <w:rFonts w:hint="eastAsia"/>
        </w:rPr>
        <w:t>分；</w:t>
      </w:r>
      <w:r>
        <w:t>投诉率在</w:t>
      </w:r>
      <w:r>
        <w:rPr>
          <w:rFonts w:hint="eastAsia"/>
        </w:rPr>
        <w:t>10</w:t>
      </w:r>
      <w:r>
        <w:t>%</w:t>
      </w:r>
      <w:r>
        <w:rPr>
          <w:rFonts w:hint="eastAsia"/>
        </w:rPr>
        <w:t>～</w:t>
      </w:r>
      <w:r>
        <w:t>30%</w:t>
      </w:r>
      <w:r>
        <w:rPr>
          <w:rFonts w:hint="eastAsia"/>
        </w:rPr>
        <w:t>之间</w:t>
      </w:r>
      <w:r>
        <w:t>打0.5</w:t>
      </w:r>
      <w:r>
        <w:rPr>
          <w:rFonts w:hint="eastAsia"/>
        </w:rPr>
        <w:t>分；</w:t>
      </w:r>
      <w:r>
        <w:t>投诉率在</w:t>
      </w:r>
      <w:r>
        <w:rPr>
          <w:rFonts w:hint="eastAsia"/>
        </w:rPr>
        <w:t>30</w:t>
      </w:r>
      <w:r>
        <w:t>%</w:t>
      </w:r>
      <w:r>
        <w:rPr>
          <w:rFonts w:hint="eastAsia"/>
        </w:rPr>
        <w:t>～</w:t>
      </w:r>
      <w:r>
        <w:t>50%</w:t>
      </w:r>
      <w:r>
        <w:rPr>
          <w:rFonts w:hint="eastAsia"/>
        </w:rPr>
        <w:t>之间</w:t>
      </w:r>
      <w:r>
        <w:t>打0.8</w:t>
      </w:r>
      <w:r>
        <w:rPr>
          <w:rFonts w:hint="eastAsia"/>
        </w:rPr>
        <w:t>分；</w:t>
      </w:r>
      <w:r>
        <w:t>投诉率高于</w:t>
      </w:r>
      <w:r>
        <w:rPr>
          <w:rFonts w:hint="eastAsia"/>
        </w:rPr>
        <w:t>50</w:t>
      </w:r>
      <w:r>
        <w:t>%</w:t>
      </w:r>
      <w:r>
        <w:rPr>
          <w:rFonts w:hint="eastAsia"/>
        </w:rPr>
        <w:t>时</w:t>
      </w:r>
      <w:r>
        <w:t>打0</w:t>
      </w:r>
      <w:r>
        <w:rPr>
          <w:rFonts w:hint="eastAsia"/>
        </w:rPr>
        <w:t>分。</w:t>
      </w:r>
    </w:p>
    <w:p>
      <w:pPr>
        <w:pStyle w:val="96"/>
        <w:spacing w:before="156" w:after="156"/>
      </w:pPr>
      <w:r>
        <w:rPr>
          <w:rFonts w:hint="eastAsia"/>
        </w:rPr>
        <w:t>评价要素</w:t>
      </w:r>
      <w:r>
        <w:t>打分</w:t>
      </w:r>
    </w:p>
    <w:p>
      <w:pPr>
        <w:pStyle w:val="21"/>
      </w:pPr>
      <w:r>
        <w:rPr>
          <w:rFonts w:hint="eastAsia"/>
        </w:rPr>
        <w:t>根据打分</w:t>
      </w:r>
      <w:r>
        <w:t>规则</w:t>
      </w:r>
      <w:r>
        <w:rPr>
          <w:rFonts w:hint="eastAsia"/>
        </w:rPr>
        <w:t>对</w:t>
      </w:r>
      <w:r>
        <w:t>评价要素进行打分，</w:t>
      </w:r>
      <w:r>
        <w:rPr>
          <w:rFonts w:hint="eastAsia"/>
        </w:rPr>
        <w:t>A</w:t>
      </w:r>
      <w:r>
        <w:t>志愿服务组织的打分情况</w:t>
      </w:r>
      <w:r>
        <w:rPr>
          <w:rFonts w:hint="eastAsia"/>
        </w:rPr>
        <w:t>见</w:t>
      </w:r>
      <w:r>
        <w:t>表</w:t>
      </w:r>
      <w:r>
        <w:rPr>
          <w:rFonts w:hint="eastAsia"/>
        </w:rPr>
        <w:t>B.3</w:t>
      </w:r>
      <w:r>
        <w:t>。</w:t>
      </w:r>
    </w:p>
    <w:p>
      <w:pPr>
        <w:pStyle w:val="81"/>
        <w:spacing w:before="156" w:after="156"/>
      </w:pPr>
      <w:r>
        <w:rPr>
          <w:rFonts w:hint="eastAsia"/>
        </w:rPr>
        <w:t>评价要素</w:t>
      </w:r>
      <w:r>
        <w:t>打分</w:t>
      </w:r>
      <w:r>
        <w:rPr>
          <w:rFonts w:hint="eastAsia"/>
        </w:rPr>
        <w:t>示例</w:t>
      </w:r>
    </w:p>
    <w:tbl>
      <w:tblPr>
        <w:tblStyle w:val="36"/>
        <w:tblW w:w="8363"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418"/>
        <w:gridCol w:w="1417"/>
        <w:gridCol w:w="3579"/>
        <w:gridCol w:w="12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Align w:val="center"/>
          </w:tcPr>
          <w:p>
            <w:pPr>
              <w:pStyle w:val="49"/>
              <w:numPr>
                <w:ilvl w:val="1"/>
                <w:numId w:val="0"/>
              </w:numPr>
              <w:jc w:val="center"/>
              <w:rPr>
                <w:rFonts w:ascii="宋体"/>
                <w:b/>
                <w:sz w:val="18"/>
                <w:szCs w:val="18"/>
              </w:rPr>
            </w:pPr>
            <w:r>
              <w:rPr>
                <w:rFonts w:hint="eastAsia" w:ascii="宋体"/>
                <w:b/>
                <w:sz w:val="18"/>
                <w:szCs w:val="18"/>
              </w:rPr>
              <w:t>序号</w:t>
            </w:r>
          </w:p>
        </w:tc>
        <w:tc>
          <w:tcPr>
            <w:tcW w:w="1418" w:type="dxa"/>
            <w:vAlign w:val="center"/>
          </w:tcPr>
          <w:p>
            <w:pPr>
              <w:pStyle w:val="49"/>
              <w:numPr>
                <w:ilvl w:val="1"/>
                <w:numId w:val="0"/>
              </w:numPr>
              <w:jc w:val="center"/>
              <w:rPr>
                <w:rFonts w:ascii="宋体"/>
                <w:b/>
                <w:sz w:val="18"/>
                <w:szCs w:val="18"/>
              </w:rPr>
            </w:pPr>
            <w:r>
              <w:rPr>
                <w:rFonts w:hint="eastAsia" w:ascii="宋体"/>
                <w:b/>
                <w:sz w:val="18"/>
                <w:szCs w:val="18"/>
              </w:rPr>
              <w:t>评价</w:t>
            </w:r>
            <w:r>
              <w:rPr>
                <w:rFonts w:ascii="宋体"/>
                <w:b/>
                <w:sz w:val="18"/>
                <w:szCs w:val="18"/>
              </w:rPr>
              <w:t>模块</w:t>
            </w:r>
          </w:p>
        </w:tc>
        <w:tc>
          <w:tcPr>
            <w:tcW w:w="1417" w:type="dxa"/>
            <w:vAlign w:val="center"/>
          </w:tcPr>
          <w:p>
            <w:pPr>
              <w:pStyle w:val="49"/>
              <w:numPr>
                <w:ilvl w:val="1"/>
                <w:numId w:val="0"/>
              </w:numPr>
              <w:jc w:val="center"/>
              <w:rPr>
                <w:rFonts w:ascii="宋体"/>
                <w:b/>
                <w:sz w:val="18"/>
                <w:szCs w:val="18"/>
              </w:rPr>
            </w:pPr>
            <w:r>
              <w:rPr>
                <w:rFonts w:hint="eastAsia" w:ascii="宋体"/>
                <w:b/>
                <w:sz w:val="18"/>
                <w:szCs w:val="18"/>
              </w:rPr>
              <w:t>评价</w:t>
            </w:r>
            <w:r>
              <w:rPr>
                <w:rFonts w:ascii="宋体"/>
                <w:b/>
                <w:sz w:val="18"/>
                <w:szCs w:val="18"/>
              </w:rPr>
              <w:t>子模块</w:t>
            </w:r>
          </w:p>
        </w:tc>
        <w:tc>
          <w:tcPr>
            <w:tcW w:w="3579" w:type="dxa"/>
            <w:vAlign w:val="center"/>
          </w:tcPr>
          <w:p>
            <w:pPr>
              <w:pStyle w:val="49"/>
              <w:numPr>
                <w:ilvl w:val="1"/>
                <w:numId w:val="0"/>
              </w:numPr>
              <w:jc w:val="center"/>
              <w:rPr>
                <w:rFonts w:ascii="宋体"/>
                <w:b/>
                <w:sz w:val="18"/>
                <w:szCs w:val="18"/>
              </w:rPr>
            </w:pPr>
            <w:r>
              <w:rPr>
                <w:rFonts w:hint="eastAsia" w:ascii="宋体"/>
                <w:b/>
                <w:sz w:val="18"/>
                <w:szCs w:val="18"/>
              </w:rPr>
              <w:t>评价要素</w:t>
            </w:r>
          </w:p>
        </w:tc>
        <w:tc>
          <w:tcPr>
            <w:tcW w:w="1241" w:type="dxa"/>
            <w:vAlign w:val="center"/>
          </w:tcPr>
          <w:p>
            <w:pPr>
              <w:pStyle w:val="49"/>
              <w:numPr>
                <w:ilvl w:val="1"/>
                <w:numId w:val="0"/>
              </w:numPr>
              <w:jc w:val="center"/>
              <w:rPr>
                <w:rFonts w:ascii="宋体"/>
                <w:b/>
                <w:sz w:val="18"/>
                <w:szCs w:val="18"/>
              </w:rPr>
            </w:pPr>
            <w:r>
              <w:rPr>
                <w:rFonts w:hint="eastAsia" w:ascii="宋体"/>
                <w:b/>
                <w:sz w:val="18"/>
                <w:szCs w:val="18"/>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Merge w:val="restart"/>
            <w:vAlign w:val="center"/>
          </w:tcPr>
          <w:p>
            <w:pPr>
              <w:pStyle w:val="49"/>
              <w:numPr>
                <w:ilvl w:val="1"/>
                <w:numId w:val="0"/>
              </w:numPr>
              <w:jc w:val="center"/>
              <w:rPr>
                <w:rFonts w:ascii="宋体"/>
                <w:sz w:val="18"/>
                <w:szCs w:val="18"/>
              </w:rPr>
            </w:pPr>
            <w:r>
              <w:rPr>
                <w:rFonts w:hint="eastAsia" w:ascii="宋体"/>
                <w:sz w:val="18"/>
                <w:szCs w:val="18"/>
              </w:rPr>
              <w:t>1</w:t>
            </w:r>
          </w:p>
        </w:tc>
        <w:tc>
          <w:tcPr>
            <w:tcW w:w="1418" w:type="dxa"/>
            <w:vMerge w:val="restart"/>
            <w:vAlign w:val="center"/>
          </w:tcPr>
          <w:p>
            <w:pPr>
              <w:pStyle w:val="49"/>
              <w:numPr>
                <w:ilvl w:val="1"/>
                <w:numId w:val="0"/>
              </w:numPr>
              <w:jc w:val="center"/>
              <w:rPr>
                <w:rFonts w:ascii="宋体"/>
                <w:sz w:val="18"/>
                <w:szCs w:val="18"/>
              </w:rPr>
            </w:pPr>
            <w:r>
              <w:rPr>
                <w:rFonts w:hint="eastAsia" w:ascii="宋体"/>
                <w:sz w:val="18"/>
                <w:szCs w:val="18"/>
              </w:rPr>
              <w:t>基础</w:t>
            </w:r>
            <w:r>
              <w:rPr>
                <w:rFonts w:ascii="宋体"/>
                <w:sz w:val="18"/>
                <w:szCs w:val="18"/>
              </w:rPr>
              <w:t>条件</w:t>
            </w:r>
          </w:p>
        </w:tc>
        <w:tc>
          <w:tcPr>
            <w:tcW w:w="1417" w:type="dxa"/>
            <w:vMerge w:val="restart"/>
            <w:vAlign w:val="center"/>
          </w:tcPr>
          <w:p>
            <w:pPr>
              <w:pStyle w:val="49"/>
              <w:numPr>
                <w:ilvl w:val="1"/>
                <w:numId w:val="0"/>
              </w:numPr>
              <w:jc w:val="center"/>
              <w:rPr>
                <w:rFonts w:ascii="宋体"/>
                <w:sz w:val="18"/>
                <w:szCs w:val="18"/>
              </w:rPr>
            </w:pPr>
            <w:r>
              <w:rPr>
                <w:rFonts w:hint="eastAsia" w:ascii="宋体"/>
                <w:sz w:val="18"/>
                <w:szCs w:val="18"/>
              </w:rPr>
              <w:t>机构</w:t>
            </w:r>
            <w:r>
              <w:rPr>
                <w:rFonts w:ascii="宋体"/>
                <w:sz w:val="18"/>
                <w:szCs w:val="18"/>
              </w:rPr>
              <w:t>设置</w:t>
            </w:r>
          </w:p>
        </w:tc>
        <w:tc>
          <w:tcPr>
            <w:tcW w:w="3579" w:type="dxa"/>
            <w:vAlign w:val="center"/>
          </w:tcPr>
          <w:p>
            <w:pPr>
              <w:pStyle w:val="54"/>
              <w:numPr>
                <w:ilvl w:val="0"/>
                <w:numId w:val="0"/>
              </w:numPr>
              <w:jc w:val="left"/>
              <w:rPr>
                <w:rFonts w:ascii="宋体"/>
                <w:sz w:val="18"/>
                <w:szCs w:val="18"/>
              </w:rPr>
            </w:pPr>
            <w:r>
              <w:rPr>
                <w:rFonts w:hint="eastAsia" w:ascii="宋体"/>
                <w:sz w:val="18"/>
                <w:szCs w:val="18"/>
              </w:rPr>
              <w:t>建立组织章程、管理制度等</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Merge w:val="continue"/>
            <w:vAlign w:val="center"/>
          </w:tcPr>
          <w:p>
            <w:pPr>
              <w:pStyle w:val="49"/>
              <w:numPr>
                <w:ilvl w:val="1"/>
                <w:numId w:val="0"/>
              </w:numPr>
              <w:rPr>
                <w:rFonts w:ascii="宋体"/>
                <w:sz w:val="18"/>
                <w:szCs w:val="18"/>
              </w:rPr>
            </w:pPr>
          </w:p>
        </w:tc>
        <w:tc>
          <w:tcPr>
            <w:tcW w:w="1418" w:type="dxa"/>
            <w:vMerge w:val="continue"/>
            <w:vAlign w:val="center"/>
          </w:tcPr>
          <w:p>
            <w:pPr>
              <w:pStyle w:val="49"/>
              <w:numPr>
                <w:ilvl w:val="1"/>
                <w:numId w:val="0"/>
              </w:numPr>
              <w:rPr>
                <w:rFonts w:ascii="宋体"/>
                <w:sz w:val="18"/>
                <w:szCs w:val="18"/>
              </w:rPr>
            </w:pPr>
          </w:p>
        </w:tc>
        <w:tc>
          <w:tcPr>
            <w:tcW w:w="1417" w:type="dxa"/>
            <w:vMerge w:val="continue"/>
            <w:vAlign w:val="center"/>
          </w:tcPr>
          <w:p>
            <w:pPr>
              <w:pStyle w:val="49"/>
              <w:numPr>
                <w:ilvl w:val="1"/>
                <w:numId w:val="0"/>
              </w:numPr>
              <w:rPr>
                <w:rFonts w:ascii="宋体"/>
                <w:sz w:val="18"/>
                <w:szCs w:val="18"/>
              </w:rPr>
            </w:pPr>
          </w:p>
        </w:tc>
        <w:tc>
          <w:tcPr>
            <w:tcW w:w="3579" w:type="dxa"/>
            <w:vAlign w:val="center"/>
          </w:tcPr>
          <w:p>
            <w:pPr>
              <w:pStyle w:val="54"/>
              <w:numPr>
                <w:ilvl w:val="0"/>
                <w:numId w:val="0"/>
              </w:numPr>
              <w:jc w:val="left"/>
              <w:rPr>
                <w:rFonts w:ascii="宋体"/>
                <w:sz w:val="18"/>
                <w:szCs w:val="18"/>
              </w:rPr>
            </w:pPr>
            <w:r>
              <w:rPr>
                <w:rFonts w:hint="eastAsia" w:ascii="宋体"/>
                <w:sz w:val="18"/>
                <w:szCs w:val="18"/>
              </w:rPr>
              <w:t>具有固定的使命表述</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Merge w:val="continue"/>
            <w:vAlign w:val="center"/>
          </w:tcPr>
          <w:p>
            <w:pPr>
              <w:pStyle w:val="49"/>
              <w:numPr>
                <w:ilvl w:val="1"/>
                <w:numId w:val="0"/>
              </w:numPr>
              <w:rPr>
                <w:rFonts w:ascii="宋体"/>
                <w:sz w:val="18"/>
                <w:szCs w:val="18"/>
              </w:rPr>
            </w:pPr>
          </w:p>
        </w:tc>
        <w:tc>
          <w:tcPr>
            <w:tcW w:w="1418" w:type="dxa"/>
            <w:vMerge w:val="continue"/>
            <w:vAlign w:val="center"/>
          </w:tcPr>
          <w:p>
            <w:pPr>
              <w:pStyle w:val="49"/>
              <w:numPr>
                <w:ilvl w:val="1"/>
                <w:numId w:val="0"/>
              </w:numPr>
              <w:rPr>
                <w:rFonts w:ascii="宋体"/>
                <w:sz w:val="18"/>
                <w:szCs w:val="18"/>
              </w:rPr>
            </w:pPr>
          </w:p>
        </w:tc>
        <w:tc>
          <w:tcPr>
            <w:tcW w:w="1417" w:type="dxa"/>
            <w:vMerge w:val="continue"/>
            <w:vAlign w:val="center"/>
          </w:tcPr>
          <w:p>
            <w:pPr>
              <w:pStyle w:val="49"/>
              <w:numPr>
                <w:ilvl w:val="1"/>
                <w:numId w:val="0"/>
              </w:numPr>
              <w:rPr>
                <w:rFonts w:ascii="宋体"/>
                <w:sz w:val="18"/>
                <w:szCs w:val="18"/>
              </w:rPr>
            </w:pPr>
          </w:p>
        </w:tc>
        <w:tc>
          <w:tcPr>
            <w:tcW w:w="3579" w:type="dxa"/>
            <w:vAlign w:val="center"/>
          </w:tcPr>
          <w:p>
            <w:pPr>
              <w:pStyle w:val="54"/>
              <w:numPr>
                <w:ilvl w:val="0"/>
                <w:numId w:val="0"/>
              </w:numPr>
              <w:jc w:val="left"/>
              <w:rPr>
                <w:rFonts w:ascii="宋体"/>
                <w:sz w:val="18"/>
                <w:szCs w:val="18"/>
              </w:rPr>
            </w:pPr>
            <w:r>
              <w:rPr>
                <w:rFonts w:hint="eastAsia" w:ascii="宋体"/>
                <w:sz w:val="18"/>
                <w:szCs w:val="18"/>
              </w:rPr>
              <w:t>建立内部治理组织架构</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Merge w:val="continue"/>
            <w:vAlign w:val="center"/>
          </w:tcPr>
          <w:p>
            <w:pPr>
              <w:pStyle w:val="49"/>
              <w:numPr>
                <w:ilvl w:val="1"/>
                <w:numId w:val="0"/>
              </w:numPr>
              <w:rPr>
                <w:rFonts w:ascii="宋体"/>
                <w:sz w:val="18"/>
                <w:szCs w:val="18"/>
              </w:rPr>
            </w:pPr>
          </w:p>
        </w:tc>
        <w:tc>
          <w:tcPr>
            <w:tcW w:w="1418" w:type="dxa"/>
            <w:vMerge w:val="continue"/>
            <w:vAlign w:val="center"/>
          </w:tcPr>
          <w:p>
            <w:pPr>
              <w:pStyle w:val="49"/>
              <w:numPr>
                <w:ilvl w:val="1"/>
                <w:numId w:val="0"/>
              </w:numPr>
              <w:rPr>
                <w:rFonts w:ascii="宋体"/>
                <w:sz w:val="18"/>
                <w:szCs w:val="18"/>
              </w:rPr>
            </w:pPr>
          </w:p>
        </w:tc>
        <w:tc>
          <w:tcPr>
            <w:tcW w:w="1417" w:type="dxa"/>
            <w:vMerge w:val="continue"/>
            <w:vAlign w:val="center"/>
          </w:tcPr>
          <w:p>
            <w:pPr>
              <w:pStyle w:val="49"/>
              <w:numPr>
                <w:ilvl w:val="1"/>
                <w:numId w:val="0"/>
              </w:numPr>
              <w:rPr>
                <w:rFonts w:ascii="宋体"/>
                <w:sz w:val="18"/>
                <w:szCs w:val="18"/>
              </w:rPr>
            </w:pPr>
          </w:p>
        </w:tc>
        <w:tc>
          <w:tcPr>
            <w:tcW w:w="3579" w:type="dxa"/>
            <w:vAlign w:val="center"/>
          </w:tcPr>
          <w:p>
            <w:pPr>
              <w:pStyle w:val="54"/>
              <w:numPr>
                <w:ilvl w:val="0"/>
                <w:numId w:val="0"/>
              </w:numPr>
              <w:jc w:val="left"/>
              <w:rPr>
                <w:rFonts w:ascii="宋体"/>
                <w:sz w:val="18"/>
                <w:szCs w:val="18"/>
              </w:rPr>
            </w:pPr>
            <w:r>
              <w:rPr>
                <w:rFonts w:hint="eastAsia" w:ascii="宋体"/>
                <w:sz w:val="18"/>
                <w:szCs w:val="18"/>
              </w:rPr>
              <w:t>所提供志愿服务不应以营利为目的</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Merge w:val="continue"/>
            <w:vAlign w:val="center"/>
          </w:tcPr>
          <w:p>
            <w:pPr>
              <w:pStyle w:val="49"/>
              <w:numPr>
                <w:ilvl w:val="1"/>
                <w:numId w:val="0"/>
              </w:numPr>
              <w:rPr>
                <w:rFonts w:ascii="宋体"/>
                <w:sz w:val="18"/>
                <w:szCs w:val="18"/>
              </w:rPr>
            </w:pPr>
          </w:p>
        </w:tc>
        <w:tc>
          <w:tcPr>
            <w:tcW w:w="1418" w:type="dxa"/>
            <w:vMerge w:val="continue"/>
            <w:vAlign w:val="center"/>
          </w:tcPr>
          <w:p>
            <w:pPr>
              <w:pStyle w:val="49"/>
              <w:numPr>
                <w:ilvl w:val="1"/>
                <w:numId w:val="0"/>
              </w:numPr>
              <w:rPr>
                <w:rFonts w:ascii="宋体"/>
                <w:sz w:val="18"/>
                <w:szCs w:val="18"/>
              </w:rPr>
            </w:pPr>
          </w:p>
        </w:tc>
        <w:tc>
          <w:tcPr>
            <w:tcW w:w="1417" w:type="dxa"/>
            <w:vMerge w:val="continue"/>
            <w:vAlign w:val="center"/>
          </w:tcPr>
          <w:p>
            <w:pPr>
              <w:pStyle w:val="49"/>
              <w:numPr>
                <w:ilvl w:val="1"/>
                <w:numId w:val="0"/>
              </w:numPr>
              <w:rPr>
                <w:rFonts w:ascii="宋体"/>
                <w:sz w:val="18"/>
                <w:szCs w:val="18"/>
              </w:rPr>
            </w:pPr>
          </w:p>
        </w:tc>
        <w:tc>
          <w:tcPr>
            <w:tcW w:w="3579" w:type="dxa"/>
            <w:vAlign w:val="center"/>
          </w:tcPr>
          <w:p>
            <w:pPr>
              <w:jc w:val="left"/>
            </w:pPr>
            <w:r>
              <w:rPr>
                <w:rFonts w:hint="eastAsia" w:ascii="宋体"/>
                <w:color w:val="000000"/>
                <w:sz w:val="18"/>
                <w:szCs w:val="18"/>
              </w:rPr>
              <w:t>设立党的组织</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Merge w:val="restart"/>
            <w:vAlign w:val="center"/>
          </w:tcPr>
          <w:p>
            <w:pPr>
              <w:pStyle w:val="49"/>
              <w:numPr>
                <w:ilvl w:val="1"/>
                <w:numId w:val="0"/>
              </w:numPr>
              <w:jc w:val="center"/>
              <w:rPr>
                <w:rFonts w:ascii="宋体"/>
                <w:sz w:val="18"/>
                <w:szCs w:val="18"/>
              </w:rPr>
            </w:pPr>
            <w:r>
              <w:rPr>
                <w:rFonts w:hint="eastAsia" w:ascii="宋体"/>
                <w:sz w:val="18"/>
                <w:szCs w:val="18"/>
              </w:rPr>
              <w:t>2</w:t>
            </w:r>
          </w:p>
        </w:tc>
        <w:tc>
          <w:tcPr>
            <w:tcW w:w="1418" w:type="dxa"/>
            <w:vMerge w:val="restart"/>
            <w:vAlign w:val="center"/>
          </w:tcPr>
          <w:p>
            <w:pPr>
              <w:pStyle w:val="49"/>
              <w:numPr>
                <w:ilvl w:val="1"/>
                <w:numId w:val="0"/>
              </w:numPr>
              <w:jc w:val="center"/>
              <w:rPr>
                <w:rFonts w:ascii="宋体"/>
                <w:sz w:val="18"/>
                <w:szCs w:val="18"/>
              </w:rPr>
            </w:pPr>
            <w:r>
              <w:rPr>
                <w:rFonts w:hint="eastAsia" w:ascii="宋体"/>
                <w:sz w:val="18"/>
                <w:szCs w:val="18"/>
              </w:rPr>
              <w:t>服务</w:t>
            </w:r>
            <w:r>
              <w:rPr>
                <w:rFonts w:ascii="宋体"/>
                <w:sz w:val="18"/>
                <w:szCs w:val="18"/>
              </w:rPr>
              <w:t>效果</w:t>
            </w:r>
          </w:p>
        </w:tc>
        <w:tc>
          <w:tcPr>
            <w:tcW w:w="1417" w:type="dxa"/>
            <w:vMerge w:val="restart"/>
            <w:vAlign w:val="center"/>
          </w:tcPr>
          <w:p>
            <w:pPr>
              <w:pStyle w:val="49"/>
              <w:numPr>
                <w:ilvl w:val="1"/>
                <w:numId w:val="0"/>
              </w:numPr>
              <w:jc w:val="center"/>
              <w:rPr>
                <w:rFonts w:ascii="宋体"/>
                <w:sz w:val="18"/>
                <w:szCs w:val="18"/>
              </w:rPr>
            </w:pPr>
            <w:r>
              <w:rPr>
                <w:rFonts w:hint="eastAsia" w:ascii="宋体"/>
                <w:sz w:val="18"/>
                <w:szCs w:val="18"/>
              </w:rPr>
              <w:t>服务</w:t>
            </w:r>
            <w:r>
              <w:rPr>
                <w:rFonts w:ascii="宋体"/>
                <w:sz w:val="18"/>
                <w:szCs w:val="18"/>
              </w:rPr>
              <w:t>对象认同</w:t>
            </w:r>
          </w:p>
        </w:tc>
        <w:tc>
          <w:tcPr>
            <w:tcW w:w="3579" w:type="dxa"/>
            <w:vAlign w:val="center"/>
          </w:tcPr>
          <w:p>
            <w:pPr>
              <w:jc w:val="left"/>
              <w:rPr>
                <w:rFonts w:ascii="宋体"/>
                <w:color w:val="000000"/>
                <w:sz w:val="18"/>
                <w:szCs w:val="18"/>
              </w:rPr>
            </w:pPr>
            <w:r>
              <w:rPr>
                <w:rFonts w:hint="eastAsia" w:ascii="宋体"/>
                <w:color w:val="000000"/>
                <w:sz w:val="18"/>
                <w:szCs w:val="18"/>
              </w:rPr>
              <w:t>服务对象对志愿服务组织的接受率</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Merge w:val="continue"/>
            <w:vAlign w:val="center"/>
          </w:tcPr>
          <w:p>
            <w:pPr>
              <w:pStyle w:val="49"/>
              <w:numPr>
                <w:ilvl w:val="1"/>
                <w:numId w:val="0"/>
              </w:numPr>
              <w:rPr>
                <w:rFonts w:ascii="宋体"/>
                <w:sz w:val="18"/>
                <w:szCs w:val="18"/>
              </w:rPr>
            </w:pPr>
          </w:p>
        </w:tc>
        <w:tc>
          <w:tcPr>
            <w:tcW w:w="1418" w:type="dxa"/>
            <w:vMerge w:val="continue"/>
            <w:vAlign w:val="center"/>
          </w:tcPr>
          <w:p>
            <w:pPr>
              <w:pStyle w:val="49"/>
              <w:numPr>
                <w:ilvl w:val="1"/>
                <w:numId w:val="0"/>
              </w:numPr>
              <w:rPr>
                <w:rFonts w:ascii="宋体"/>
                <w:sz w:val="18"/>
                <w:szCs w:val="18"/>
              </w:rPr>
            </w:pPr>
          </w:p>
        </w:tc>
        <w:tc>
          <w:tcPr>
            <w:tcW w:w="1417" w:type="dxa"/>
            <w:vMerge w:val="continue"/>
            <w:vAlign w:val="center"/>
          </w:tcPr>
          <w:p>
            <w:pPr>
              <w:pStyle w:val="49"/>
              <w:numPr>
                <w:ilvl w:val="1"/>
                <w:numId w:val="0"/>
              </w:numPr>
              <w:rPr>
                <w:rFonts w:ascii="宋体"/>
                <w:sz w:val="18"/>
                <w:szCs w:val="18"/>
              </w:rPr>
            </w:pPr>
          </w:p>
        </w:tc>
        <w:tc>
          <w:tcPr>
            <w:tcW w:w="3579" w:type="dxa"/>
            <w:vAlign w:val="center"/>
          </w:tcPr>
          <w:p>
            <w:pPr>
              <w:jc w:val="left"/>
              <w:rPr>
                <w:rFonts w:ascii="宋体"/>
                <w:color w:val="000000"/>
                <w:sz w:val="18"/>
                <w:szCs w:val="18"/>
              </w:rPr>
            </w:pPr>
            <w:r>
              <w:rPr>
                <w:rFonts w:hint="eastAsia" w:ascii="宋体"/>
                <w:color w:val="000000"/>
                <w:sz w:val="18"/>
                <w:szCs w:val="18"/>
              </w:rPr>
              <w:t>服务对象对志愿者服务的满意度</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Merge w:val="continue"/>
            <w:vAlign w:val="center"/>
          </w:tcPr>
          <w:p>
            <w:pPr>
              <w:pStyle w:val="49"/>
              <w:numPr>
                <w:ilvl w:val="1"/>
                <w:numId w:val="0"/>
              </w:numPr>
              <w:rPr>
                <w:rFonts w:ascii="宋体"/>
                <w:sz w:val="18"/>
                <w:szCs w:val="18"/>
              </w:rPr>
            </w:pPr>
          </w:p>
        </w:tc>
        <w:tc>
          <w:tcPr>
            <w:tcW w:w="1418" w:type="dxa"/>
            <w:vMerge w:val="continue"/>
            <w:vAlign w:val="center"/>
          </w:tcPr>
          <w:p>
            <w:pPr>
              <w:pStyle w:val="49"/>
              <w:numPr>
                <w:ilvl w:val="1"/>
                <w:numId w:val="0"/>
              </w:numPr>
              <w:rPr>
                <w:rFonts w:ascii="宋体"/>
                <w:sz w:val="18"/>
                <w:szCs w:val="18"/>
              </w:rPr>
            </w:pPr>
          </w:p>
        </w:tc>
        <w:tc>
          <w:tcPr>
            <w:tcW w:w="1417" w:type="dxa"/>
            <w:vMerge w:val="continue"/>
            <w:vAlign w:val="center"/>
          </w:tcPr>
          <w:p>
            <w:pPr>
              <w:pStyle w:val="49"/>
              <w:numPr>
                <w:ilvl w:val="1"/>
                <w:numId w:val="0"/>
              </w:numPr>
              <w:rPr>
                <w:rFonts w:ascii="宋体"/>
                <w:sz w:val="18"/>
                <w:szCs w:val="18"/>
              </w:rPr>
            </w:pPr>
          </w:p>
        </w:tc>
        <w:tc>
          <w:tcPr>
            <w:tcW w:w="3579" w:type="dxa"/>
            <w:vAlign w:val="center"/>
          </w:tcPr>
          <w:p>
            <w:pPr>
              <w:jc w:val="left"/>
              <w:rPr>
                <w:rFonts w:ascii="宋体"/>
                <w:color w:val="000000"/>
                <w:sz w:val="18"/>
                <w:szCs w:val="18"/>
              </w:rPr>
            </w:pPr>
            <w:r>
              <w:rPr>
                <w:rFonts w:hint="eastAsia" w:ascii="宋体"/>
                <w:color w:val="000000"/>
                <w:sz w:val="18"/>
                <w:szCs w:val="18"/>
              </w:rPr>
              <w:t>服务对象对志愿服务组织的满意度</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Merge w:val="continue"/>
            <w:vAlign w:val="center"/>
          </w:tcPr>
          <w:p>
            <w:pPr>
              <w:pStyle w:val="49"/>
              <w:numPr>
                <w:ilvl w:val="1"/>
                <w:numId w:val="0"/>
              </w:numPr>
              <w:rPr>
                <w:rFonts w:ascii="宋体"/>
                <w:sz w:val="18"/>
                <w:szCs w:val="18"/>
              </w:rPr>
            </w:pPr>
          </w:p>
        </w:tc>
        <w:tc>
          <w:tcPr>
            <w:tcW w:w="1418" w:type="dxa"/>
            <w:vMerge w:val="continue"/>
            <w:vAlign w:val="center"/>
          </w:tcPr>
          <w:p>
            <w:pPr>
              <w:pStyle w:val="49"/>
              <w:numPr>
                <w:ilvl w:val="1"/>
                <w:numId w:val="0"/>
              </w:numPr>
              <w:rPr>
                <w:rFonts w:ascii="宋体"/>
                <w:sz w:val="18"/>
                <w:szCs w:val="18"/>
              </w:rPr>
            </w:pPr>
          </w:p>
        </w:tc>
        <w:tc>
          <w:tcPr>
            <w:tcW w:w="1417" w:type="dxa"/>
            <w:vMerge w:val="restart"/>
            <w:vAlign w:val="center"/>
          </w:tcPr>
          <w:p>
            <w:pPr>
              <w:pStyle w:val="49"/>
              <w:numPr>
                <w:ilvl w:val="1"/>
                <w:numId w:val="0"/>
              </w:numPr>
              <w:jc w:val="center"/>
              <w:rPr>
                <w:rFonts w:ascii="宋体"/>
                <w:sz w:val="18"/>
                <w:szCs w:val="18"/>
              </w:rPr>
            </w:pPr>
            <w:r>
              <w:rPr>
                <w:rFonts w:hint="eastAsia" w:ascii="宋体"/>
                <w:sz w:val="18"/>
                <w:szCs w:val="18"/>
              </w:rPr>
              <w:t>志愿者</w:t>
            </w:r>
            <w:r>
              <w:rPr>
                <w:rFonts w:ascii="宋体"/>
                <w:sz w:val="18"/>
                <w:szCs w:val="18"/>
              </w:rPr>
              <w:t>认同</w:t>
            </w:r>
          </w:p>
        </w:tc>
        <w:tc>
          <w:tcPr>
            <w:tcW w:w="3579" w:type="dxa"/>
            <w:vAlign w:val="center"/>
          </w:tcPr>
          <w:p>
            <w:pPr>
              <w:jc w:val="left"/>
              <w:rPr>
                <w:rFonts w:ascii="宋体"/>
                <w:color w:val="000000"/>
                <w:sz w:val="18"/>
                <w:szCs w:val="18"/>
              </w:rPr>
            </w:pPr>
            <w:r>
              <w:rPr>
                <w:rFonts w:hint="eastAsia" w:ascii="宋体"/>
                <w:color w:val="000000"/>
                <w:sz w:val="18"/>
                <w:szCs w:val="18"/>
              </w:rPr>
              <w:t>志愿服务组织的志愿者流失率</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w:t>
            </w:r>
            <w:r>
              <w:rPr>
                <w:rFonts w:ascii="宋体"/>
                <w:sz w:val="18"/>
                <w:szCs w:val="1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Merge w:val="continue"/>
            <w:vAlign w:val="center"/>
          </w:tcPr>
          <w:p>
            <w:pPr>
              <w:pStyle w:val="49"/>
              <w:numPr>
                <w:ilvl w:val="1"/>
                <w:numId w:val="0"/>
              </w:numPr>
              <w:rPr>
                <w:rFonts w:ascii="宋体"/>
                <w:sz w:val="18"/>
                <w:szCs w:val="18"/>
              </w:rPr>
            </w:pPr>
          </w:p>
        </w:tc>
        <w:tc>
          <w:tcPr>
            <w:tcW w:w="1418" w:type="dxa"/>
            <w:vMerge w:val="continue"/>
            <w:vAlign w:val="center"/>
          </w:tcPr>
          <w:p>
            <w:pPr>
              <w:pStyle w:val="49"/>
              <w:numPr>
                <w:ilvl w:val="1"/>
                <w:numId w:val="0"/>
              </w:numPr>
              <w:rPr>
                <w:rFonts w:ascii="宋体"/>
                <w:sz w:val="18"/>
                <w:szCs w:val="18"/>
              </w:rPr>
            </w:pPr>
          </w:p>
        </w:tc>
        <w:tc>
          <w:tcPr>
            <w:tcW w:w="1417" w:type="dxa"/>
            <w:vMerge w:val="continue"/>
            <w:vAlign w:val="center"/>
          </w:tcPr>
          <w:p>
            <w:pPr>
              <w:pStyle w:val="49"/>
              <w:numPr>
                <w:ilvl w:val="1"/>
                <w:numId w:val="0"/>
              </w:numPr>
              <w:rPr>
                <w:rFonts w:ascii="宋体"/>
                <w:sz w:val="18"/>
                <w:szCs w:val="18"/>
              </w:rPr>
            </w:pPr>
          </w:p>
        </w:tc>
        <w:tc>
          <w:tcPr>
            <w:tcW w:w="3579" w:type="dxa"/>
            <w:vAlign w:val="center"/>
          </w:tcPr>
          <w:p>
            <w:pPr>
              <w:jc w:val="left"/>
              <w:rPr>
                <w:rFonts w:ascii="宋体"/>
                <w:color w:val="000000"/>
                <w:sz w:val="18"/>
                <w:szCs w:val="18"/>
              </w:rPr>
            </w:pPr>
            <w:r>
              <w:rPr>
                <w:rFonts w:hint="eastAsia" w:ascii="宋体"/>
                <w:color w:val="000000"/>
                <w:sz w:val="18"/>
                <w:szCs w:val="18"/>
              </w:rPr>
              <w:t>志愿者的投诉率</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Merge w:val="continue"/>
            <w:vAlign w:val="center"/>
          </w:tcPr>
          <w:p>
            <w:pPr>
              <w:pStyle w:val="49"/>
              <w:numPr>
                <w:ilvl w:val="1"/>
                <w:numId w:val="0"/>
              </w:numPr>
              <w:rPr>
                <w:rFonts w:ascii="宋体"/>
                <w:sz w:val="18"/>
                <w:szCs w:val="18"/>
              </w:rPr>
            </w:pPr>
          </w:p>
        </w:tc>
        <w:tc>
          <w:tcPr>
            <w:tcW w:w="1418" w:type="dxa"/>
            <w:vMerge w:val="continue"/>
            <w:vAlign w:val="center"/>
          </w:tcPr>
          <w:p>
            <w:pPr>
              <w:pStyle w:val="49"/>
              <w:numPr>
                <w:ilvl w:val="1"/>
                <w:numId w:val="0"/>
              </w:numPr>
              <w:rPr>
                <w:rFonts w:ascii="宋体"/>
                <w:sz w:val="18"/>
                <w:szCs w:val="18"/>
              </w:rPr>
            </w:pPr>
          </w:p>
        </w:tc>
        <w:tc>
          <w:tcPr>
            <w:tcW w:w="1417" w:type="dxa"/>
            <w:vMerge w:val="restart"/>
            <w:vAlign w:val="center"/>
          </w:tcPr>
          <w:p>
            <w:pPr>
              <w:pStyle w:val="49"/>
              <w:numPr>
                <w:ilvl w:val="1"/>
                <w:numId w:val="0"/>
              </w:numPr>
              <w:jc w:val="center"/>
              <w:rPr>
                <w:rFonts w:ascii="宋体"/>
                <w:sz w:val="18"/>
                <w:szCs w:val="18"/>
              </w:rPr>
            </w:pPr>
            <w:r>
              <w:rPr>
                <w:rFonts w:hint="eastAsia" w:ascii="宋体"/>
                <w:sz w:val="18"/>
                <w:szCs w:val="18"/>
              </w:rPr>
              <w:t>公众</w:t>
            </w:r>
            <w:r>
              <w:rPr>
                <w:rFonts w:ascii="宋体"/>
                <w:sz w:val="18"/>
                <w:szCs w:val="18"/>
              </w:rPr>
              <w:t>认同</w:t>
            </w:r>
          </w:p>
        </w:tc>
        <w:tc>
          <w:tcPr>
            <w:tcW w:w="3579" w:type="dxa"/>
            <w:vAlign w:val="center"/>
          </w:tcPr>
          <w:p>
            <w:pPr>
              <w:jc w:val="left"/>
              <w:rPr>
                <w:rFonts w:ascii="宋体"/>
                <w:color w:val="000000"/>
                <w:sz w:val="18"/>
                <w:szCs w:val="18"/>
              </w:rPr>
            </w:pPr>
            <w:r>
              <w:rPr>
                <w:rFonts w:hint="eastAsia" w:ascii="宋体"/>
                <w:color w:val="000000"/>
                <w:sz w:val="18"/>
                <w:szCs w:val="18"/>
              </w:rPr>
              <w:t>获得政府相关部门奖励的次数</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Merge w:val="continue"/>
            <w:vAlign w:val="center"/>
          </w:tcPr>
          <w:p>
            <w:pPr>
              <w:pStyle w:val="49"/>
              <w:numPr>
                <w:ilvl w:val="1"/>
                <w:numId w:val="0"/>
              </w:numPr>
              <w:rPr>
                <w:rFonts w:ascii="宋体"/>
                <w:sz w:val="18"/>
                <w:szCs w:val="18"/>
              </w:rPr>
            </w:pPr>
          </w:p>
        </w:tc>
        <w:tc>
          <w:tcPr>
            <w:tcW w:w="1418" w:type="dxa"/>
            <w:vMerge w:val="continue"/>
            <w:vAlign w:val="center"/>
          </w:tcPr>
          <w:p>
            <w:pPr>
              <w:pStyle w:val="49"/>
              <w:numPr>
                <w:ilvl w:val="1"/>
                <w:numId w:val="0"/>
              </w:numPr>
              <w:rPr>
                <w:rFonts w:ascii="宋体"/>
                <w:sz w:val="18"/>
                <w:szCs w:val="18"/>
              </w:rPr>
            </w:pPr>
          </w:p>
        </w:tc>
        <w:tc>
          <w:tcPr>
            <w:tcW w:w="1417" w:type="dxa"/>
            <w:vMerge w:val="continue"/>
            <w:vAlign w:val="center"/>
          </w:tcPr>
          <w:p>
            <w:pPr>
              <w:pStyle w:val="49"/>
              <w:numPr>
                <w:ilvl w:val="1"/>
                <w:numId w:val="0"/>
              </w:numPr>
              <w:rPr>
                <w:rFonts w:ascii="宋体"/>
                <w:sz w:val="18"/>
                <w:szCs w:val="18"/>
              </w:rPr>
            </w:pPr>
          </w:p>
        </w:tc>
        <w:tc>
          <w:tcPr>
            <w:tcW w:w="3579" w:type="dxa"/>
            <w:vAlign w:val="center"/>
          </w:tcPr>
          <w:p>
            <w:pPr>
              <w:jc w:val="left"/>
              <w:rPr>
                <w:rFonts w:ascii="宋体"/>
                <w:color w:val="000000"/>
                <w:sz w:val="18"/>
                <w:szCs w:val="18"/>
              </w:rPr>
            </w:pPr>
            <w:r>
              <w:rPr>
                <w:rFonts w:hint="eastAsia" w:ascii="宋体"/>
                <w:color w:val="000000"/>
                <w:sz w:val="18"/>
                <w:szCs w:val="18"/>
              </w:rPr>
              <w:t>媒体对志愿服务组织的正面报道次数</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Merge w:val="continue"/>
            <w:vAlign w:val="center"/>
          </w:tcPr>
          <w:p>
            <w:pPr>
              <w:pStyle w:val="49"/>
              <w:numPr>
                <w:ilvl w:val="1"/>
                <w:numId w:val="0"/>
              </w:numPr>
              <w:rPr>
                <w:rFonts w:ascii="宋体"/>
                <w:sz w:val="18"/>
                <w:szCs w:val="18"/>
              </w:rPr>
            </w:pPr>
          </w:p>
        </w:tc>
        <w:tc>
          <w:tcPr>
            <w:tcW w:w="1418" w:type="dxa"/>
            <w:vMerge w:val="continue"/>
            <w:vAlign w:val="center"/>
          </w:tcPr>
          <w:p>
            <w:pPr>
              <w:pStyle w:val="49"/>
              <w:numPr>
                <w:ilvl w:val="1"/>
                <w:numId w:val="0"/>
              </w:numPr>
              <w:rPr>
                <w:rFonts w:ascii="宋体"/>
                <w:sz w:val="18"/>
                <w:szCs w:val="18"/>
              </w:rPr>
            </w:pPr>
          </w:p>
        </w:tc>
        <w:tc>
          <w:tcPr>
            <w:tcW w:w="1417" w:type="dxa"/>
            <w:vMerge w:val="continue"/>
            <w:vAlign w:val="center"/>
          </w:tcPr>
          <w:p>
            <w:pPr>
              <w:pStyle w:val="49"/>
              <w:numPr>
                <w:ilvl w:val="1"/>
                <w:numId w:val="0"/>
              </w:numPr>
              <w:rPr>
                <w:rFonts w:ascii="宋体"/>
                <w:sz w:val="18"/>
                <w:szCs w:val="18"/>
              </w:rPr>
            </w:pPr>
          </w:p>
        </w:tc>
        <w:tc>
          <w:tcPr>
            <w:tcW w:w="3579" w:type="dxa"/>
            <w:vAlign w:val="center"/>
          </w:tcPr>
          <w:p>
            <w:pPr>
              <w:jc w:val="left"/>
            </w:pPr>
            <w:r>
              <w:rPr>
                <w:rFonts w:hint="eastAsia" w:ascii="宋体"/>
                <w:sz w:val="18"/>
                <w:szCs w:val="18"/>
              </w:rPr>
              <w:t>志愿服务资金或物资的社会捐赠额</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 w:type="dxa"/>
            <w:vAlign w:val="center"/>
          </w:tcPr>
          <w:p>
            <w:pPr>
              <w:pStyle w:val="49"/>
              <w:numPr>
                <w:ilvl w:val="1"/>
                <w:numId w:val="0"/>
              </w:numPr>
              <w:jc w:val="center"/>
              <w:rPr>
                <w:rFonts w:ascii="宋体"/>
                <w:sz w:val="18"/>
                <w:szCs w:val="18"/>
              </w:rPr>
            </w:pPr>
            <w:r>
              <w:rPr>
                <w:rFonts w:hint="eastAsia" w:ascii="宋体"/>
                <w:sz w:val="18"/>
                <w:szCs w:val="18"/>
              </w:rPr>
              <w:t>3</w:t>
            </w:r>
          </w:p>
        </w:tc>
        <w:tc>
          <w:tcPr>
            <w:tcW w:w="1418" w:type="dxa"/>
            <w:vAlign w:val="center"/>
          </w:tcPr>
          <w:p>
            <w:pPr>
              <w:pStyle w:val="49"/>
              <w:numPr>
                <w:ilvl w:val="1"/>
                <w:numId w:val="0"/>
              </w:numPr>
              <w:jc w:val="center"/>
              <w:rPr>
                <w:rFonts w:ascii="宋体"/>
                <w:sz w:val="18"/>
                <w:szCs w:val="18"/>
              </w:rPr>
            </w:pPr>
            <w:r>
              <w:rPr>
                <w:rFonts w:hint="eastAsia" w:ascii="宋体"/>
                <w:sz w:val="18"/>
                <w:szCs w:val="18"/>
              </w:rPr>
              <w:t>信用</w:t>
            </w:r>
            <w:r>
              <w:rPr>
                <w:rFonts w:ascii="宋体"/>
                <w:sz w:val="18"/>
                <w:szCs w:val="18"/>
              </w:rPr>
              <w:t>与荣誉</w:t>
            </w:r>
          </w:p>
        </w:tc>
        <w:tc>
          <w:tcPr>
            <w:tcW w:w="1417" w:type="dxa"/>
            <w:vAlign w:val="center"/>
          </w:tcPr>
          <w:p>
            <w:pPr>
              <w:pStyle w:val="49"/>
              <w:numPr>
                <w:ilvl w:val="1"/>
                <w:numId w:val="0"/>
              </w:numPr>
              <w:jc w:val="center"/>
              <w:rPr>
                <w:rFonts w:ascii="宋体"/>
                <w:sz w:val="18"/>
                <w:szCs w:val="18"/>
              </w:rPr>
            </w:pPr>
            <w:r>
              <w:rPr>
                <w:rFonts w:hint="eastAsia" w:ascii="宋体"/>
                <w:sz w:val="18"/>
                <w:szCs w:val="18"/>
              </w:rPr>
              <w:t>信用</w:t>
            </w:r>
          </w:p>
        </w:tc>
        <w:tc>
          <w:tcPr>
            <w:tcW w:w="3579" w:type="dxa"/>
            <w:vAlign w:val="center"/>
          </w:tcPr>
          <w:p>
            <w:pPr>
              <w:jc w:val="left"/>
            </w:pPr>
            <w:r>
              <w:rPr>
                <w:rFonts w:hint="eastAsia" w:ascii="宋体"/>
                <w:sz w:val="18"/>
                <w:szCs w:val="18"/>
              </w:rPr>
              <w:t>具有志愿者、志愿服务对象隐私保护措施</w:t>
            </w:r>
          </w:p>
        </w:tc>
        <w:tc>
          <w:tcPr>
            <w:tcW w:w="1241" w:type="dxa"/>
            <w:vAlign w:val="center"/>
          </w:tcPr>
          <w:p>
            <w:pPr>
              <w:pStyle w:val="49"/>
              <w:numPr>
                <w:ilvl w:val="1"/>
                <w:numId w:val="0"/>
              </w:numPr>
              <w:jc w:val="center"/>
              <w:rPr>
                <w:rFonts w:ascii="宋体"/>
                <w:sz w:val="18"/>
                <w:szCs w:val="18"/>
              </w:rPr>
            </w:pPr>
            <w:r>
              <w:rPr>
                <w:rFonts w:hint="eastAsia" w:ascii="宋体"/>
                <w:sz w:val="18"/>
                <w:szCs w:val="18"/>
              </w:rPr>
              <w:t>1</w:t>
            </w:r>
          </w:p>
        </w:tc>
      </w:tr>
    </w:tbl>
    <w:p>
      <w:pPr>
        <w:pStyle w:val="96"/>
        <w:spacing w:before="156" w:after="156"/>
      </w:pPr>
      <w:r>
        <w:rPr>
          <w:rFonts w:hint="eastAsia"/>
        </w:rPr>
        <w:t>计算评价模块得分</w:t>
      </w:r>
    </w:p>
    <w:p>
      <w:pPr>
        <w:pStyle w:val="21"/>
      </w:pPr>
      <w:r>
        <w:rPr>
          <w:rFonts w:hint="eastAsia"/>
        </w:rPr>
        <w:t>对</w:t>
      </w:r>
      <w:r>
        <w:t>各评价要素</w:t>
      </w:r>
      <w:r>
        <w:rPr>
          <w:rFonts w:hint="eastAsia"/>
        </w:rPr>
        <w:t>求和后，根据</w:t>
      </w:r>
      <w:r>
        <w:t>权重</w:t>
      </w:r>
      <w:r>
        <w:rPr>
          <w:rFonts w:hint="eastAsia"/>
        </w:rPr>
        <w:t>计</w:t>
      </w:r>
      <w:r>
        <w:t>算</w:t>
      </w:r>
      <w:r>
        <w:rPr>
          <w:rFonts w:hint="eastAsia"/>
        </w:rPr>
        <w:t>各</w:t>
      </w:r>
      <w:r>
        <w:t>评价模块得分。</w:t>
      </w:r>
      <w:r>
        <w:rPr>
          <w:rFonts w:hint="eastAsia"/>
        </w:rPr>
        <w:t>A</w:t>
      </w:r>
      <w:r>
        <w:t>志愿服务组织评价模块得分</w:t>
      </w:r>
      <w:r>
        <w:rPr>
          <w:rFonts w:hint="eastAsia"/>
        </w:rPr>
        <w:t>见</w:t>
      </w:r>
      <w:r>
        <w:t>表</w:t>
      </w:r>
      <w:r>
        <w:rPr>
          <w:rFonts w:hint="eastAsia"/>
        </w:rPr>
        <w:t>B.4</w:t>
      </w:r>
      <w:r>
        <w:t>。</w:t>
      </w:r>
    </w:p>
    <w:p>
      <w:pPr>
        <w:pStyle w:val="81"/>
        <w:spacing w:before="156" w:after="156"/>
      </w:pPr>
      <w:r>
        <w:rPr>
          <w:rFonts w:hint="eastAsia"/>
        </w:rPr>
        <w:t>评价</w:t>
      </w:r>
      <w:r>
        <w:t>模块得分</w:t>
      </w:r>
      <w:r>
        <w:rPr>
          <w:rFonts w:hint="eastAsia"/>
        </w:rPr>
        <w:t>示例</w:t>
      </w:r>
    </w:p>
    <w:tbl>
      <w:tblPr>
        <w:tblStyle w:val="36"/>
        <w:tblW w:w="9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1195"/>
        <w:gridCol w:w="1454"/>
        <w:gridCol w:w="3402"/>
        <w:gridCol w:w="709"/>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Align w:val="center"/>
          </w:tcPr>
          <w:p>
            <w:pPr>
              <w:pStyle w:val="49"/>
              <w:numPr>
                <w:ilvl w:val="1"/>
                <w:numId w:val="0"/>
              </w:numPr>
              <w:jc w:val="center"/>
              <w:rPr>
                <w:rFonts w:ascii="宋体"/>
                <w:b/>
                <w:sz w:val="18"/>
                <w:szCs w:val="18"/>
              </w:rPr>
            </w:pPr>
            <w:r>
              <w:rPr>
                <w:rFonts w:hint="eastAsia" w:ascii="宋体"/>
                <w:b/>
                <w:sz w:val="18"/>
                <w:szCs w:val="18"/>
              </w:rPr>
              <w:t>序号</w:t>
            </w:r>
          </w:p>
        </w:tc>
        <w:tc>
          <w:tcPr>
            <w:tcW w:w="1195" w:type="dxa"/>
            <w:vAlign w:val="center"/>
          </w:tcPr>
          <w:p>
            <w:pPr>
              <w:pStyle w:val="49"/>
              <w:numPr>
                <w:ilvl w:val="1"/>
                <w:numId w:val="0"/>
              </w:numPr>
              <w:ind w:left="23" w:leftChars="11"/>
              <w:jc w:val="center"/>
              <w:rPr>
                <w:rFonts w:ascii="宋体"/>
                <w:b/>
                <w:sz w:val="18"/>
                <w:szCs w:val="18"/>
              </w:rPr>
            </w:pPr>
            <w:r>
              <w:rPr>
                <w:rFonts w:hint="eastAsia" w:ascii="宋体"/>
                <w:b/>
                <w:sz w:val="18"/>
                <w:szCs w:val="18"/>
              </w:rPr>
              <w:t>评价</w:t>
            </w:r>
            <w:r>
              <w:rPr>
                <w:rFonts w:ascii="宋体"/>
                <w:b/>
                <w:sz w:val="18"/>
                <w:szCs w:val="18"/>
              </w:rPr>
              <w:t>模块</w:t>
            </w:r>
          </w:p>
        </w:tc>
        <w:tc>
          <w:tcPr>
            <w:tcW w:w="1454" w:type="dxa"/>
            <w:vAlign w:val="center"/>
          </w:tcPr>
          <w:p>
            <w:pPr>
              <w:pStyle w:val="49"/>
              <w:numPr>
                <w:ilvl w:val="1"/>
                <w:numId w:val="0"/>
              </w:numPr>
              <w:jc w:val="center"/>
              <w:rPr>
                <w:rFonts w:ascii="宋体"/>
                <w:b/>
                <w:sz w:val="18"/>
                <w:szCs w:val="18"/>
              </w:rPr>
            </w:pPr>
            <w:r>
              <w:rPr>
                <w:rFonts w:hint="eastAsia" w:ascii="宋体"/>
                <w:b/>
                <w:sz w:val="18"/>
                <w:szCs w:val="18"/>
              </w:rPr>
              <w:t>评价</w:t>
            </w:r>
            <w:r>
              <w:rPr>
                <w:rFonts w:ascii="宋体"/>
                <w:b/>
                <w:sz w:val="18"/>
                <w:szCs w:val="18"/>
              </w:rPr>
              <w:t>子模块</w:t>
            </w:r>
          </w:p>
        </w:tc>
        <w:tc>
          <w:tcPr>
            <w:tcW w:w="3402" w:type="dxa"/>
            <w:vAlign w:val="center"/>
          </w:tcPr>
          <w:p>
            <w:pPr>
              <w:pStyle w:val="49"/>
              <w:numPr>
                <w:ilvl w:val="1"/>
                <w:numId w:val="0"/>
              </w:numPr>
              <w:ind w:left="17"/>
              <w:jc w:val="center"/>
              <w:rPr>
                <w:rFonts w:ascii="宋体"/>
                <w:b/>
                <w:sz w:val="18"/>
                <w:szCs w:val="18"/>
              </w:rPr>
            </w:pPr>
            <w:r>
              <w:rPr>
                <w:rFonts w:hint="eastAsia" w:ascii="宋体"/>
                <w:b/>
                <w:sz w:val="18"/>
                <w:szCs w:val="18"/>
              </w:rPr>
              <w:t>评价要素</w:t>
            </w:r>
          </w:p>
        </w:tc>
        <w:tc>
          <w:tcPr>
            <w:tcW w:w="709" w:type="dxa"/>
            <w:vAlign w:val="center"/>
          </w:tcPr>
          <w:p>
            <w:pPr>
              <w:pStyle w:val="49"/>
              <w:numPr>
                <w:ilvl w:val="1"/>
                <w:numId w:val="0"/>
              </w:numPr>
              <w:jc w:val="center"/>
              <w:rPr>
                <w:rFonts w:ascii="宋体"/>
                <w:b/>
                <w:sz w:val="18"/>
                <w:szCs w:val="18"/>
              </w:rPr>
            </w:pPr>
            <w:r>
              <w:rPr>
                <w:rFonts w:hint="eastAsia" w:ascii="宋体"/>
                <w:b/>
                <w:sz w:val="18"/>
                <w:szCs w:val="18"/>
              </w:rPr>
              <w:t>分数</w:t>
            </w:r>
          </w:p>
        </w:tc>
        <w:tc>
          <w:tcPr>
            <w:tcW w:w="992" w:type="dxa"/>
            <w:vAlign w:val="top"/>
          </w:tcPr>
          <w:p>
            <w:pPr>
              <w:pStyle w:val="49"/>
              <w:numPr>
                <w:ilvl w:val="1"/>
                <w:numId w:val="0"/>
              </w:numPr>
              <w:ind w:left="2" w:leftChars="1"/>
              <w:jc w:val="center"/>
              <w:rPr>
                <w:rFonts w:ascii="宋体"/>
                <w:b/>
                <w:sz w:val="18"/>
                <w:szCs w:val="18"/>
              </w:rPr>
            </w:pPr>
            <w:r>
              <w:rPr>
                <w:rFonts w:hint="eastAsia" w:ascii="宋体"/>
                <w:b/>
                <w:sz w:val="18"/>
                <w:szCs w:val="18"/>
              </w:rPr>
              <w:t>评价</w:t>
            </w:r>
            <w:r>
              <w:rPr>
                <w:rFonts w:ascii="宋体"/>
                <w:b/>
                <w:sz w:val="18"/>
                <w:szCs w:val="18"/>
              </w:rPr>
              <w:t>模块权重</w:t>
            </w:r>
          </w:p>
        </w:tc>
        <w:tc>
          <w:tcPr>
            <w:tcW w:w="992" w:type="dxa"/>
            <w:vAlign w:val="center"/>
          </w:tcPr>
          <w:p>
            <w:pPr>
              <w:pStyle w:val="49"/>
              <w:numPr>
                <w:ilvl w:val="1"/>
                <w:numId w:val="0"/>
              </w:numPr>
              <w:ind w:right="4" w:rightChars="2"/>
              <w:jc w:val="center"/>
              <w:rPr>
                <w:rFonts w:ascii="宋体"/>
                <w:b/>
                <w:sz w:val="18"/>
                <w:szCs w:val="18"/>
              </w:rPr>
            </w:pPr>
            <w:r>
              <w:rPr>
                <w:rFonts w:hint="eastAsia" w:ascii="宋体"/>
                <w:b/>
                <w:sz w:val="18"/>
                <w:szCs w:val="18"/>
              </w:rPr>
              <w:t>评价</w:t>
            </w:r>
            <w:r>
              <w:rPr>
                <w:rFonts w:ascii="宋体"/>
                <w:b/>
                <w:sz w:val="18"/>
                <w:szCs w:val="18"/>
              </w:rPr>
              <w:t>模块得分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Merge w:val="restart"/>
            <w:vAlign w:val="center"/>
          </w:tcPr>
          <w:p>
            <w:pPr>
              <w:pStyle w:val="21"/>
              <w:ind w:firstLine="0" w:firstLineChars="0"/>
              <w:jc w:val="center"/>
            </w:pPr>
            <w:r>
              <w:rPr>
                <w:rFonts w:hint="eastAsia" w:ascii="宋体"/>
                <w:sz w:val="18"/>
                <w:szCs w:val="18"/>
              </w:rPr>
              <w:t>1</w:t>
            </w:r>
          </w:p>
        </w:tc>
        <w:tc>
          <w:tcPr>
            <w:tcW w:w="1195" w:type="dxa"/>
            <w:vMerge w:val="restart"/>
            <w:vAlign w:val="center"/>
          </w:tcPr>
          <w:p>
            <w:pPr>
              <w:pStyle w:val="49"/>
              <w:numPr>
                <w:ilvl w:val="1"/>
                <w:numId w:val="0"/>
              </w:numPr>
              <w:ind w:left="23" w:leftChars="11"/>
              <w:jc w:val="center"/>
              <w:rPr>
                <w:rFonts w:ascii="宋体"/>
                <w:sz w:val="18"/>
                <w:szCs w:val="18"/>
              </w:rPr>
            </w:pPr>
            <w:r>
              <w:rPr>
                <w:rFonts w:hint="eastAsia" w:ascii="宋体"/>
                <w:sz w:val="18"/>
                <w:szCs w:val="18"/>
              </w:rPr>
              <w:t>基础</w:t>
            </w:r>
            <w:r>
              <w:rPr>
                <w:rFonts w:ascii="宋体"/>
                <w:sz w:val="18"/>
                <w:szCs w:val="18"/>
              </w:rPr>
              <w:t>条件</w:t>
            </w:r>
          </w:p>
        </w:tc>
        <w:tc>
          <w:tcPr>
            <w:tcW w:w="1454" w:type="dxa"/>
            <w:vMerge w:val="restart"/>
            <w:vAlign w:val="center"/>
          </w:tcPr>
          <w:p>
            <w:pPr>
              <w:pStyle w:val="49"/>
              <w:numPr>
                <w:ilvl w:val="1"/>
                <w:numId w:val="0"/>
              </w:numPr>
              <w:jc w:val="center"/>
              <w:rPr>
                <w:rFonts w:ascii="宋体"/>
                <w:sz w:val="18"/>
                <w:szCs w:val="18"/>
              </w:rPr>
            </w:pPr>
            <w:r>
              <w:rPr>
                <w:rFonts w:hint="eastAsia" w:ascii="宋体"/>
                <w:sz w:val="18"/>
                <w:szCs w:val="18"/>
              </w:rPr>
              <w:t>机构</w:t>
            </w:r>
            <w:r>
              <w:rPr>
                <w:rFonts w:ascii="宋体"/>
                <w:sz w:val="18"/>
                <w:szCs w:val="18"/>
              </w:rPr>
              <w:t>设置</w:t>
            </w:r>
          </w:p>
        </w:tc>
        <w:tc>
          <w:tcPr>
            <w:tcW w:w="3402" w:type="dxa"/>
            <w:vAlign w:val="center"/>
          </w:tcPr>
          <w:p>
            <w:pPr>
              <w:pStyle w:val="54"/>
              <w:numPr>
                <w:ilvl w:val="0"/>
                <w:numId w:val="0"/>
              </w:numPr>
              <w:jc w:val="left"/>
              <w:rPr>
                <w:rFonts w:ascii="宋体"/>
                <w:sz w:val="18"/>
                <w:szCs w:val="18"/>
              </w:rPr>
            </w:pPr>
            <w:r>
              <w:rPr>
                <w:rFonts w:hint="eastAsia" w:ascii="宋体"/>
                <w:sz w:val="18"/>
                <w:szCs w:val="18"/>
              </w:rPr>
              <w:t>建立组织章程、管理制度等</w:t>
            </w:r>
          </w:p>
        </w:tc>
        <w:tc>
          <w:tcPr>
            <w:tcW w:w="709" w:type="dxa"/>
            <w:vAlign w:val="center"/>
          </w:tcPr>
          <w:p>
            <w:pPr>
              <w:pStyle w:val="49"/>
              <w:numPr>
                <w:ilvl w:val="1"/>
                <w:numId w:val="0"/>
              </w:numPr>
              <w:jc w:val="center"/>
              <w:rPr>
                <w:rFonts w:ascii="宋体"/>
                <w:sz w:val="18"/>
                <w:szCs w:val="18"/>
              </w:rPr>
            </w:pPr>
            <w:r>
              <w:rPr>
                <w:rFonts w:hint="eastAsia" w:ascii="宋体"/>
                <w:sz w:val="18"/>
                <w:szCs w:val="18"/>
              </w:rPr>
              <w:t>1</w:t>
            </w:r>
          </w:p>
        </w:tc>
        <w:tc>
          <w:tcPr>
            <w:tcW w:w="992" w:type="dxa"/>
            <w:vMerge w:val="restart"/>
            <w:vAlign w:val="center"/>
          </w:tcPr>
          <w:p>
            <w:pPr>
              <w:pStyle w:val="49"/>
              <w:numPr>
                <w:ilvl w:val="1"/>
                <w:numId w:val="0"/>
              </w:numPr>
              <w:ind w:left="2" w:leftChars="1"/>
              <w:jc w:val="center"/>
              <w:rPr>
                <w:rFonts w:ascii="宋体"/>
                <w:sz w:val="18"/>
                <w:szCs w:val="18"/>
              </w:rPr>
            </w:pPr>
            <w:r>
              <w:rPr>
                <w:rFonts w:hint="eastAsia" w:ascii="宋体"/>
                <w:sz w:val="18"/>
                <w:szCs w:val="18"/>
              </w:rPr>
              <w:t>0.2</w:t>
            </w:r>
          </w:p>
        </w:tc>
        <w:tc>
          <w:tcPr>
            <w:tcW w:w="992" w:type="dxa"/>
            <w:vMerge w:val="restart"/>
            <w:vAlign w:val="center"/>
          </w:tcPr>
          <w:p>
            <w:pPr>
              <w:pStyle w:val="49"/>
              <w:numPr>
                <w:ilvl w:val="1"/>
                <w:numId w:val="0"/>
              </w:numPr>
              <w:jc w:val="center"/>
              <w:rPr>
                <w:rFonts w:ascii="宋体"/>
                <w:sz w:val="18"/>
                <w:szCs w:val="18"/>
              </w:rPr>
            </w:pPr>
            <w:r>
              <w:rPr>
                <w:rFonts w:hint="eastAsia" w:ascii="宋体"/>
                <w:sz w:val="18"/>
                <w:szCs w:val="18"/>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Merge w:val="continue"/>
            <w:vAlign w:val="top"/>
          </w:tcPr>
          <w:p>
            <w:pPr>
              <w:pStyle w:val="21"/>
              <w:ind w:firstLine="0" w:firstLineChars="0"/>
            </w:pPr>
          </w:p>
        </w:tc>
        <w:tc>
          <w:tcPr>
            <w:tcW w:w="1195" w:type="dxa"/>
            <w:vMerge w:val="continue"/>
            <w:vAlign w:val="center"/>
          </w:tcPr>
          <w:p>
            <w:pPr>
              <w:pStyle w:val="49"/>
              <w:numPr>
                <w:ilvl w:val="1"/>
                <w:numId w:val="0"/>
              </w:numPr>
              <w:ind w:left="23" w:leftChars="11"/>
              <w:jc w:val="center"/>
              <w:rPr>
                <w:rFonts w:ascii="宋体"/>
                <w:sz w:val="18"/>
                <w:szCs w:val="18"/>
              </w:rPr>
            </w:pPr>
          </w:p>
        </w:tc>
        <w:tc>
          <w:tcPr>
            <w:tcW w:w="1454" w:type="dxa"/>
            <w:vMerge w:val="continue"/>
            <w:vAlign w:val="center"/>
          </w:tcPr>
          <w:p>
            <w:pPr>
              <w:pStyle w:val="49"/>
              <w:numPr>
                <w:ilvl w:val="1"/>
                <w:numId w:val="0"/>
              </w:numPr>
              <w:jc w:val="center"/>
              <w:rPr>
                <w:rFonts w:ascii="宋体"/>
                <w:sz w:val="18"/>
                <w:szCs w:val="18"/>
              </w:rPr>
            </w:pPr>
          </w:p>
        </w:tc>
        <w:tc>
          <w:tcPr>
            <w:tcW w:w="3402" w:type="dxa"/>
            <w:vAlign w:val="center"/>
          </w:tcPr>
          <w:p>
            <w:pPr>
              <w:pStyle w:val="54"/>
              <w:numPr>
                <w:ilvl w:val="0"/>
                <w:numId w:val="0"/>
              </w:numPr>
              <w:jc w:val="left"/>
              <w:rPr>
                <w:rFonts w:ascii="宋体"/>
                <w:sz w:val="18"/>
                <w:szCs w:val="18"/>
              </w:rPr>
            </w:pPr>
            <w:r>
              <w:rPr>
                <w:rFonts w:hint="eastAsia" w:ascii="宋体"/>
                <w:sz w:val="18"/>
                <w:szCs w:val="18"/>
              </w:rPr>
              <w:t>具有固定的使命表述</w:t>
            </w:r>
          </w:p>
        </w:tc>
        <w:tc>
          <w:tcPr>
            <w:tcW w:w="709" w:type="dxa"/>
            <w:vAlign w:val="center"/>
          </w:tcPr>
          <w:p>
            <w:pPr>
              <w:pStyle w:val="49"/>
              <w:numPr>
                <w:ilvl w:val="1"/>
                <w:numId w:val="0"/>
              </w:numPr>
              <w:jc w:val="center"/>
              <w:rPr>
                <w:rFonts w:ascii="宋体"/>
                <w:sz w:val="18"/>
                <w:szCs w:val="18"/>
              </w:rPr>
            </w:pPr>
            <w:r>
              <w:rPr>
                <w:rFonts w:hint="eastAsia" w:ascii="宋体"/>
                <w:sz w:val="18"/>
                <w:szCs w:val="18"/>
              </w:rPr>
              <w:t>1</w:t>
            </w:r>
          </w:p>
        </w:tc>
        <w:tc>
          <w:tcPr>
            <w:tcW w:w="992" w:type="dxa"/>
            <w:vMerge w:val="continue"/>
            <w:vAlign w:val="center"/>
          </w:tcPr>
          <w:p>
            <w:pPr>
              <w:pStyle w:val="49"/>
              <w:numPr>
                <w:ilvl w:val="1"/>
                <w:numId w:val="0"/>
              </w:numPr>
              <w:ind w:left="2" w:leftChars="1"/>
              <w:jc w:val="center"/>
              <w:rPr>
                <w:rFonts w:ascii="宋体"/>
                <w:sz w:val="18"/>
                <w:szCs w:val="18"/>
              </w:rPr>
            </w:pPr>
          </w:p>
        </w:tc>
        <w:tc>
          <w:tcPr>
            <w:tcW w:w="992" w:type="dxa"/>
            <w:vMerge w:val="continue"/>
            <w:vAlign w:val="center"/>
          </w:tcPr>
          <w:p>
            <w:pPr>
              <w:pStyle w:val="49"/>
              <w:numPr>
                <w:ilvl w:val="1"/>
                <w:numId w:val="0"/>
              </w:numPr>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Merge w:val="continue"/>
            <w:vAlign w:val="top"/>
          </w:tcPr>
          <w:p>
            <w:pPr>
              <w:pStyle w:val="21"/>
              <w:ind w:firstLine="0" w:firstLineChars="0"/>
            </w:pPr>
          </w:p>
        </w:tc>
        <w:tc>
          <w:tcPr>
            <w:tcW w:w="1195" w:type="dxa"/>
            <w:vMerge w:val="continue"/>
            <w:vAlign w:val="center"/>
          </w:tcPr>
          <w:p>
            <w:pPr>
              <w:pStyle w:val="49"/>
              <w:numPr>
                <w:ilvl w:val="1"/>
                <w:numId w:val="0"/>
              </w:numPr>
              <w:ind w:left="23" w:leftChars="11"/>
              <w:jc w:val="center"/>
              <w:rPr>
                <w:rFonts w:ascii="宋体"/>
                <w:sz w:val="18"/>
                <w:szCs w:val="18"/>
              </w:rPr>
            </w:pPr>
          </w:p>
        </w:tc>
        <w:tc>
          <w:tcPr>
            <w:tcW w:w="1454" w:type="dxa"/>
            <w:vMerge w:val="continue"/>
            <w:vAlign w:val="center"/>
          </w:tcPr>
          <w:p>
            <w:pPr>
              <w:pStyle w:val="49"/>
              <w:numPr>
                <w:ilvl w:val="1"/>
                <w:numId w:val="0"/>
              </w:numPr>
              <w:jc w:val="center"/>
              <w:rPr>
                <w:rFonts w:ascii="宋体"/>
                <w:sz w:val="18"/>
                <w:szCs w:val="18"/>
              </w:rPr>
            </w:pPr>
          </w:p>
        </w:tc>
        <w:tc>
          <w:tcPr>
            <w:tcW w:w="3402" w:type="dxa"/>
            <w:vAlign w:val="center"/>
          </w:tcPr>
          <w:p>
            <w:pPr>
              <w:pStyle w:val="54"/>
              <w:numPr>
                <w:ilvl w:val="0"/>
                <w:numId w:val="0"/>
              </w:numPr>
              <w:jc w:val="left"/>
              <w:rPr>
                <w:rFonts w:ascii="宋体"/>
                <w:sz w:val="18"/>
                <w:szCs w:val="18"/>
              </w:rPr>
            </w:pPr>
            <w:r>
              <w:rPr>
                <w:rFonts w:hint="eastAsia" w:ascii="宋体"/>
                <w:sz w:val="18"/>
                <w:szCs w:val="18"/>
              </w:rPr>
              <w:t>建立内部治理组织架构</w:t>
            </w:r>
          </w:p>
        </w:tc>
        <w:tc>
          <w:tcPr>
            <w:tcW w:w="709" w:type="dxa"/>
            <w:vAlign w:val="center"/>
          </w:tcPr>
          <w:p>
            <w:pPr>
              <w:pStyle w:val="49"/>
              <w:numPr>
                <w:ilvl w:val="1"/>
                <w:numId w:val="0"/>
              </w:numPr>
              <w:jc w:val="center"/>
              <w:rPr>
                <w:rFonts w:ascii="宋体"/>
                <w:sz w:val="18"/>
                <w:szCs w:val="18"/>
              </w:rPr>
            </w:pPr>
            <w:r>
              <w:rPr>
                <w:rFonts w:hint="eastAsia" w:ascii="宋体"/>
                <w:sz w:val="18"/>
                <w:szCs w:val="18"/>
              </w:rPr>
              <w:t>1</w:t>
            </w:r>
          </w:p>
        </w:tc>
        <w:tc>
          <w:tcPr>
            <w:tcW w:w="992" w:type="dxa"/>
            <w:vMerge w:val="continue"/>
            <w:vAlign w:val="center"/>
          </w:tcPr>
          <w:p>
            <w:pPr>
              <w:pStyle w:val="49"/>
              <w:numPr>
                <w:ilvl w:val="1"/>
                <w:numId w:val="0"/>
              </w:numPr>
              <w:ind w:left="2" w:leftChars="1"/>
              <w:jc w:val="center"/>
              <w:rPr>
                <w:rFonts w:ascii="宋体"/>
                <w:sz w:val="18"/>
                <w:szCs w:val="18"/>
              </w:rPr>
            </w:pPr>
          </w:p>
        </w:tc>
        <w:tc>
          <w:tcPr>
            <w:tcW w:w="992" w:type="dxa"/>
            <w:vMerge w:val="continue"/>
            <w:vAlign w:val="center"/>
          </w:tcPr>
          <w:p>
            <w:pPr>
              <w:pStyle w:val="49"/>
              <w:numPr>
                <w:ilvl w:val="1"/>
                <w:numId w:val="0"/>
              </w:numPr>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Merge w:val="continue"/>
            <w:vAlign w:val="top"/>
          </w:tcPr>
          <w:p>
            <w:pPr>
              <w:pStyle w:val="21"/>
              <w:ind w:firstLine="0" w:firstLineChars="0"/>
            </w:pPr>
          </w:p>
        </w:tc>
        <w:tc>
          <w:tcPr>
            <w:tcW w:w="1195" w:type="dxa"/>
            <w:vMerge w:val="continue"/>
            <w:vAlign w:val="center"/>
          </w:tcPr>
          <w:p>
            <w:pPr>
              <w:pStyle w:val="49"/>
              <w:numPr>
                <w:ilvl w:val="1"/>
                <w:numId w:val="0"/>
              </w:numPr>
              <w:ind w:left="23" w:leftChars="11"/>
              <w:jc w:val="center"/>
              <w:rPr>
                <w:rFonts w:ascii="宋体"/>
                <w:sz w:val="18"/>
                <w:szCs w:val="18"/>
              </w:rPr>
            </w:pPr>
          </w:p>
        </w:tc>
        <w:tc>
          <w:tcPr>
            <w:tcW w:w="1454" w:type="dxa"/>
            <w:vMerge w:val="continue"/>
            <w:vAlign w:val="center"/>
          </w:tcPr>
          <w:p>
            <w:pPr>
              <w:pStyle w:val="49"/>
              <w:numPr>
                <w:ilvl w:val="1"/>
                <w:numId w:val="0"/>
              </w:numPr>
              <w:jc w:val="center"/>
              <w:rPr>
                <w:rFonts w:ascii="宋体"/>
                <w:sz w:val="18"/>
                <w:szCs w:val="18"/>
              </w:rPr>
            </w:pPr>
          </w:p>
        </w:tc>
        <w:tc>
          <w:tcPr>
            <w:tcW w:w="3402" w:type="dxa"/>
            <w:vAlign w:val="center"/>
          </w:tcPr>
          <w:p>
            <w:pPr>
              <w:pStyle w:val="54"/>
              <w:numPr>
                <w:ilvl w:val="0"/>
                <w:numId w:val="0"/>
              </w:numPr>
              <w:jc w:val="left"/>
              <w:rPr>
                <w:rFonts w:ascii="宋体"/>
                <w:sz w:val="18"/>
                <w:szCs w:val="18"/>
              </w:rPr>
            </w:pPr>
            <w:r>
              <w:rPr>
                <w:rFonts w:hint="eastAsia" w:ascii="宋体"/>
                <w:sz w:val="18"/>
                <w:szCs w:val="18"/>
              </w:rPr>
              <w:t>所提供志愿服务不应以营利为目的</w:t>
            </w:r>
          </w:p>
        </w:tc>
        <w:tc>
          <w:tcPr>
            <w:tcW w:w="709" w:type="dxa"/>
            <w:vAlign w:val="center"/>
          </w:tcPr>
          <w:p>
            <w:pPr>
              <w:pStyle w:val="49"/>
              <w:numPr>
                <w:ilvl w:val="1"/>
                <w:numId w:val="0"/>
              </w:numPr>
              <w:jc w:val="center"/>
              <w:rPr>
                <w:rFonts w:ascii="宋体"/>
                <w:sz w:val="18"/>
                <w:szCs w:val="18"/>
              </w:rPr>
            </w:pPr>
            <w:r>
              <w:rPr>
                <w:rFonts w:hint="eastAsia" w:ascii="宋体"/>
                <w:sz w:val="18"/>
                <w:szCs w:val="18"/>
              </w:rPr>
              <w:t>1</w:t>
            </w:r>
          </w:p>
        </w:tc>
        <w:tc>
          <w:tcPr>
            <w:tcW w:w="992" w:type="dxa"/>
            <w:vMerge w:val="continue"/>
            <w:vAlign w:val="center"/>
          </w:tcPr>
          <w:p>
            <w:pPr>
              <w:pStyle w:val="49"/>
              <w:numPr>
                <w:ilvl w:val="1"/>
                <w:numId w:val="0"/>
              </w:numPr>
              <w:ind w:left="2" w:leftChars="1"/>
              <w:jc w:val="center"/>
              <w:rPr>
                <w:rFonts w:ascii="宋体"/>
                <w:sz w:val="18"/>
                <w:szCs w:val="18"/>
              </w:rPr>
            </w:pPr>
          </w:p>
        </w:tc>
        <w:tc>
          <w:tcPr>
            <w:tcW w:w="992" w:type="dxa"/>
            <w:vMerge w:val="continue"/>
            <w:vAlign w:val="center"/>
          </w:tcPr>
          <w:p>
            <w:pPr>
              <w:pStyle w:val="49"/>
              <w:numPr>
                <w:ilvl w:val="1"/>
                <w:numId w:val="0"/>
              </w:numPr>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Merge w:val="continue"/>
            <w:vAlign w:val="top"/>
          </w:tcPr>
          <w:p>
            <w:pPr>
              <w:pStyle w:val="21"/>
              <w:ind w:firstLine="0" w:firstLineChars="0"/>
            </w:pPr>
          </w:p>
        </w:tc>
        <w:tc>
          <w:tcPr>
            <w:tcW w:w="1195" w:type="dxa"/>
            <w:vMerge w:val="continue"/>
            <w:vAlign w:val="center"/>
          </w:tcPr>
          <w:p>
            <w:pPr>
              <w:pStyle w:val="49"/>
              <w:numPr>
                <w:ilvl w:val="1"/>
                <w:numId w:val="0"/>
              </w:numPr>
              <w:ind w:left="23" w:leftChars="11"/>
              <w:jc w:val="center"/>
              <w:rPr>
                <w:rFonts w:ascii="宋体"/>
                <w:sz w:val="18"/>
                <w:szCs w:val="18"/>
              </w:rPr>
            </w:pPr>
          </w:p>
        </w:tc>
        <w:tc>
          <w:tcPr>
            <w:tcW w:w="1454" w:type="dxa"/>
            <w:vMerge w:val="continue"/>
            <w:vAlign w:val="center"/>
          </w:tcPr>
          <w:p>
            <w:pPr>
              <w:pStyle w:val="49"/>
              <w:numPr>
                <w:ilvl w:val="1"/>
                <w:numId w:val="0"/>
              </w:numPr>
              <w:jc w:val="center"/>
              <w:rPr>
                <w:rFonts w:ascii="宋体"/>
                <w:sz w:val="18"/>
                <w:szCs w:val="18"/>
              </w:rPr>
            </w:pPr>
          </w:p>
        </w:tc>
        <w:tc>
          <w:tcPr>
            <w:tcW w:w="3402" w:type="dxa"/>
            <w:vAlign w:val="center"/>
          </w:tcPr>
          <w:p>
            <w:pPr>
              <w:jc w:val="left"/>
            </w:pPr>
            <w:r>
              <w:rPr>
                <w:rFonts w:hint="eastAsia" w:ascii="宋体"/>
                <w:color w:val="000000"/>
                <w:sz w:val="18"/>
                <w:szCs w:val="18"/>
              </w:rPr>
              <w:t>设立党的组织</w:t>
            </w:r>
          </w:p>
        </w:tc>
        <w:tc>
          <w:tcPr>
            <w:tcW w:w="709" w:type="dxa"/>
            <w:vAlign w:val="center"/>
          </w:tcPr>
          <w:p>
            <w:pPr>
              <w:pStyle w:val="49"/>
              <w:numPr>
                <w:ilvl w:val="1"/>
                <w:numId w:val="0"/>
              </w:numPr>
              <w:jc w:val="center"/>
              <w:rPr>
                <w:rFonts w:ascii="宋体"/>
                <w:sz w:val="18"/>
                <w:szCs w:val="18"/>
              </w:rPr>
            </w:pPr>
            <w:r>
              <w:rPr>
                <w:rFonts w:hint="eastAsia" w:ascii="宋体"/>
                <w:sz w:val="18"/>
                <w:szCs w:val="18"/>
              </w:rPr>
              <w:t>0</w:t>
            </w:r>
          </w:p>
        </w:tc>
        <w:tc>
          <w:tcPr>
            <w:tcW w:w="992" w:type="dxa"/>
            <w:vMerge w:val="continue"/>
            <w:vAlign w:val="center"/>
          </w:tcPr>
          <w:p>
            <w:pPr>
              <w:pStyle w:val="49"/>
              <w:numPr>
                <w:ilvl w:val="1"/>
                <w:numId w:val="0"/>
              </w:numPr>
              <w:ind w:left="2" w:leftChars="1"/>
              <w:jc w:val="center"/>
              <w:rPr>
                <w:rFonts w:ascii="宋体"/>
                <w:sz w:val="18"/>
                <w:szCs w:val="18"/>
              </w:rPr>
            </w:pPr>
          </w:p>
        </w:tc>
        <w:tc>
          <w:tcPr>
            <w:tcW w:w="992" w:type="dxa"/>
            <w:vMerge w:val="continue"/>
            <w:vAlign w:val="center"/>
          </w:tcPr>
          <w:p>
            <w:pPr>
              <w:pStyle w:val="49"/>
              <w:numPr>
                <w:ilvl w:val="1"/>
                <w:numId w:val="0"/>
              </w:numPr>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Merge w:val="restart"/>
            <w:vAlign w:val="center"/>
          </w:tcPr>
          <w:p>
            <w:pPr>
              <w:pStyle w:val="21"/>
              <w:ind w:firstLine="0" w:firstLineChars="0"/>
              <w:jc w:val="center"/>
            </w:pPr>
            <w:r>
              <w:rPr>
                <w:rFonts w:hint="eastAsia" w:ascii="宋体"/>
                <w:sz w:val="18"/>
                <w:szCs w:val="18"/>
              </w:rPr>
              <w:t>2</w:t>
            </w:r>
          </w:p>
        </w:tc>
        <w:tc>
          <w:tcPr>
            <w:tcW w:w="1195" w:type="dxa"/>
            <w:vMerge w:val="restart"/>
            <w:vAlign w:val="center"/>
          </w:tcPr>
          <w:p>
            <w:pPr>
              <w:pStyle w:val="49"/>
              <w:numPr>
                <w:ilvl w:val="1"/>
                <w:numId w:val="0"/>
              </w:numPr>
              <w:ind w:left="23" w:leftChars="11"/>
              <w:jc w:val="center"/>
              <w:rPr>
                <w:rFonts w:ascii="宋体"/>
                <w:sz w:val="18"/>
                <w:szCs w:val="18"/>
              </w:rPr>
            </w:pPr>
            <w:r>
              <w:rPr>
                <w:rFonts w:hint="eastAsia" w:ascii="宋体"/>
                <w:sz w:val="18"/>
                <w:szCs w:val="18"/>
              </w:rPr>
              <w:t>服务</w:t>
            </w:r>
            <w:r>
              <w:rPr>
                <w:rFonts w:ascii="宋体"/>
                <w:sz w:val="18"/>
                <w:szCs w:val="18"/>
              </w:rPr>
              <w:t>效果</w:t>
            </w:r>
          </w:p>
        </w:tc>
        <w:tc>
          <w:tcPr>
            <w:tcW w:w="1454" w:type="dxa"/>
            <w:vMerge w:val="restart"/>
            <w:vAlign w:val="center"/>
          </w:tcPr>
          <w:p>
            <w:pPr>
              <w:pStyle w:val="49"/>
              <w:numPr>
                <w:ilvl w:val="1"/>
                <w:numId w:val="0"/>
              </w:numPr>
              <w:jc w:val="center"/>
              <w:rPr>
                <w:rFonts w:ascii="宋体"/>
                <w:sz w:val="18"/>
                <w:szCs w:val="18"/>
              </w:rPr>
            </w:pPr>
            <w:r>
              <w:rPr>
                <w:rFonts w:hint="eastAsia" w:ascii="宋体"/>
                <w:sz w:val="18"/>
                <w:szCs w:val="18"/>
              </w:rPr>
              <w:t>服务</w:t>
            </w:r>
            <w:r>
              <w:rPr>
                <w:rFonts w:ascii="宋体"/>
                <w:sz w:val="18"/>
                <w:szCs w:val="18"/>
              </w:rPr>
              <w:t>对象认同</w:t>
            </w:r>
          </w:p>
        </w:tc>
        <w:tc>
          <w:tcPr>
            <w:tcW w:w="3402" w:type="dxa"/>
            <w:vAlign w:val="center"/>
          </w:tcPr>
          <w:p>
            <w:pPr>
              <w:jc w:val="left"/>
              <w:rPr>
                <w:rFonts w:ascii="宋体"/>
                <w:color w:val="000000"/>
                <w:sz w:val="18"/>
                <w:szCs w:val="18"/>
              </w:rPr>
            </w:pPr>
            <w:r>
              <w:rPr>
                <w:rFonts w:hint="eastAsia" w:ascii="宋体"/>
                <w:color w:val="000000"/>
                <w:sz w:val="18"/>
                <w:szCs w:val="18"/>
              </w:rPr>
              <w:t>服务对象对志愿服务组织的接受率</w:t>
            </w:r>
          </w:p>
        </w:tc>
        <w:tc>
          <w:tcPr>
            <w:tcW w:w="709" w:type="dxa"/>
            <w:vAlign w:val="center"/>
          </w:tcPr>
          <w:p>
            <w:pPr>
              <w:pStyle w:val="49"/>
              <w:numPr>
                <w:ilvl w:val="1"/>
                <w:numId w:val="0"/>
              </w:numPr>
              <w:jc w:val="center"/>
              <w:rPr>
                <w:rFonts w:ascii="宋体"/>
                <w:sz w:val="18"/>
                <w:szCs w:val="18"/>
              </w:rPr>
            </w:pPr>
            <w:r>
              <w:rPr>
                <w:rFonts w:hint="eastAsia" w:ascii="宋体"/>
                <w:sz w:val="18"/>
                <w:szCs w:val="18"/>
              </w:rPr>
              <w:t>0.5</w:t>
            </w:r>
          </w:p>
        </w:tc>
        <w:tc>
          <w:tcPr>
            <w:tcW w:w="992" w:type="dxa"/>
            <w:vMerge w:val="restart"/>
            <w:vAlign w:val="center"/>
          </w:tcPr>
          <w:p>
            <w:pPr>
              <w:pStyle w:val="49"/>
              <w:numPr>
                <w:ilvl w:val="1"/>
                <w:numId w:val="0"/>
              </w:numPr>
              <w:ind w:left="2" w:leftChars="1"/>
              <w:jc w:val="center"/>
              <w:rPr>
                <w:rFonts w:ascii="宋体"/>
                <w:sz w:val="18"/>
                <w:szCs w:val="18"/>
              </w:rPr>
            </w:pPr>
            <w:r>
              <w:rPr>
                <w:rFonts w:hint="eastAsia" w:ascii="宋体"/>
                <w:sz w:val="18"/>
                <w:szCs w:val="18"/>
              </w:rPr>
              <w:t>0.6</w:t>
            </w:r>
          </w:p>
        </w:tc>
        <w:tc>
          <w:tcPr>
            <w:tcW w:w="992" w:type="dxa"/>
            <w:vMerge w:val="restart"/>
            <w:vAlign w:val="center"/>
          </w:tcPr>
          <w:p>
            <w:pPr>
              <w:pStyle w:val="49"/>
              <w:numPr>
                <w:ilvl w:val="1"/>
                <w:numId w:val="0"/>
              </w:numPr>
              <w:jc w:val="center"/>
              <w:rPr>
                <w:rFonts w:ascii="宋体"/>
                <w:sz w:val="18"/>
                <w:szCs w:val="18"/>
              </w:rPr>
            </w:pPr>
            <w:r>
              <w:rPr>
                <w:rFonts w:hint="eastAsia" w:ascii="宋体"/>
                <w:sz w:val="18"/>
                <w:szCs w:val="18"/>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Merge w:val="continue"/>
            <w:vAlign w:val="top"/>
          </w:tcPr>
          <w:p>
            <w:pPr>
              <w:pStyle w:val="21"/>
              <w:ind w:firstLine="0" w:firstLineChars="0"/>
            </w:pPr>
          </w:p>
        </w:tc>
        <w:tc>
          <w:tcPr>
            <w:tcW w:w="1195" w:type="dxa"/>
            <w:vMerge w:val="continue"/>
            <w:vAlign w:val="center"/>
          </w:tcPr>
          <w:p>
            <w:pPr>
              <w:pStyle w:val="49"/>
              <w:numPr>
                <w:ilvl w:val="1"/>
                <w:numId w:val="0"/>
              </w:numPr>
              <w:ind w:left="23" w:leftChars="11"/>
              <w:jc w:val="center"/>
              <w:rPr>
                <w:rFonts w:ascii="宋体"/>
                <w:sz w:val="18"/>
                <w:szCs w:val="18"/>
              </w:rPr>
            </w:pPr>
          </w:p>
        </w:tc>
        <w:tc>
          <w:tcPr>
            <w:tcW w:w="1454" w:type="dxa"/>
            <w:vMerge w:val="continue"/>
            <w:vAlign w:val="center"/>
          </w:tcPr>
          <w:p>
            <w:pPr>
              <w:pStyle w:val="49"/>
              <w:numPr>
                <w:ilvl w:val="1"/>
                <w:numId w:val="0"/>
              </w:numPr>
              <w:jc w:val="center"/>
              <w:rPr>
                <w:rFonts w:ascii="宋体"/>
                <w:sz w:val="18"/>
                <w:szCs w:val="18"/>
              </w:rPr>
            </w:pPr>
          </w:p>
        </w:tc>
        <w:tc>
          <w:tcPr>
            <w:tcW w:w="3402" w:type="dxa"/>
            <w:vAlign w:val="center"/>
          </w:tcPr>
          <w:p>
            <w:pPr>
              <w:jc w:val="left"/>
              <w:rPr>
                <w:rFonts w:ascii="宋体"/>
                <w:color w:val="000000"/>
                <w:sz w:val="18"/>
                <w:szCs w:val="18"/>
              </w:rPr>
            </w:pPr>
            <w:r>
              <w:rPr>
                <w:rFonts w:hint="eastAsia" w:ascii="宋体"/>
                <w:color w:val="000000"/>
                <w:sz w:val="18"/>
                <w:szCs w:val="18"/>
              </w:rPr>
              <w:t>服务对象对志愿者服务的满意度</w:t>
            </w:r>
          </w:p>
        </w:tc>
        <w:tc>
          <w:tcPr>
            <w:tcW w:w="709" w:type="dxa"/>
            <w:vAlign w:val="center"/>
          </w:tcPr>
          <w:p>
            <w:pPr>
              <w:pStyle w:val="49"/>
              <w:numPr>
                <w:ilvl w:val="1"/>
                <w:numId w:val="0"/>
              </w:numPr>
              <w:jc w:val="center"/>
              <w:rPr>
                <w:rFonts w:ascii="宋体"/>
                <w:sz w:val="18"/>
                <w:szCs w:val="18"/>
              </w:rPr>
            </w:pPr>
            <w:r>
              <w:rPr>
                <w:rFonts w:hint="eastAsia" w:ascii="宋体"/>
                <w:sz w:val="18"/>
                <w:szCs w:val="18"/>
              </w:rPr>
              <w:t>1</w:t>
            </w:r>
          </w:p>
        </w:tc>
        <w:tc>
          <w:tcPr>
            <w:tcW w:w="992" w:type="dxa"/>
            <w:vMerge w:val="continue"/>
            <w:vAlign w:val="center"/>
          </w:tcPr>
          <w:p>
            <w:pPr>
              <w:pStyle w:val="49"/>
              <w:numPr>
                <w:ilvl w:val="1"/>
                <w:numId w:val="0"/>
              </w:numPr>
              <w:ind w:left="2" w:leftChars="1"/>
              <w:jc w:val="center"/>
              <w:rPr>
                <w:rFonts w:ascii="宋体"/>
                <w:sz w:val="18"/>
                <w:szCs w:val="18"/>
              </w:rPr>
            </w:pPr>
          </w:p>
        </w:tc>
        <w:tc>
          <w:tcPr>
            <w:tcW w:w="992" w:type="dxa"/>
            <w:vMerge w:val="continue"/>
            <w:vAlign w:val="center"/>
          </w:tcPr>
          <w:p>
            <w:pPr>
              <w:pStyle w:val="49"/>
              <w:numPr>
                <w:ilvl w:val="1"/>
                <w:numId w:val="0"/>
              </w:numPr>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Merge w:val="continue"/>
            <w:vAlign w:val="top"/>
          </w:tcPr>
          <w:p>
            <w:pPr>
              <w:pStyle w:val="21"/>
              <w:ind w:firstLine="0" w:firstLineChars="0"/>
            </w:pPr>
          </w:p>
        </w:tc>
        <w:tc>
          <w:tcPr>
            <w:tcW w:w="1195" w:type="dxa"/>
            <w:vMerge w:val="continue"/>
            <w:vAlign w:val="center"/>
          </w:tcPr>
          <w:p>
            <w:pPr>
              <w:pStyle w:val="49"/>
              <w:numPr>
                <w:ilvl w:val="1"/>
                <w:numId w:val="0"/>
              </w:numPr>
              <w:ind w:left="23" w:leftChars="11"/>
              <w:jc w:val="center"/>
              <w:rPr>
                <w:rFonts w:ascii="宋体"/>
                <w:sz w:val="18"/>
                <w:szCs w:val="18"/>
              </w:rPr>
            </w:pPr>
          </w:p>
        </w:tc>
        <w:tc>
          <w:tcPr>
            <w:tcW w:w="1454" w:type="dxa"/>
            <w:vMerge w:val="continue"/>
            <w:vAlign w:val="center"/>
          </w:tcPr>
          <w:p>
            <w:pPr>
              <w:pStyle w:val="49"/>
              <w:numPr>
                <w:ilvl w:val="1"/>
                <w:numId w:val="0"/>
              </w:numPr>
              <w:jc w:val="center"/>
              <w:rPr>
                <w:rFonts w:ascii="宋体"/>
                <w:sz w:val="18"/>
                <w:szCs w:val="18"/>
              </w:rPr>
            </w:pPr>
          </w:p>
        </w:tc>
        <w:tc>
          <w:tcPr>
            <w:tcW w:w="3402" w:type="dxa"/>
            <w:vAlign w:val="center"/>
          </w:tcPr>
          <w:p>
            <w:pPr>
              <w:jc w:val="left"/>
              <w:rPr>
                <w:rFonts w:ascii="宋体"/>
                <w:color w:val="000000"/>
                <w:sz w:val="18"/>
                <w:szCs w:val="18"/>
              </w:rPr>
            </w:pPr>
            <w:r>
              <w:rPr>
                <w:rFonts w:hint="eastAsia" w:ascii="宋体"/>
                <w:color w:val="000000"/>
                <w:sz w:val="18"/>
                <w:szCs w:val="18"/>
              </w:rPr>
              <w:t>服务对象对志愿服务组织的满意度</w:t>
            </w:r>
          </w:p>
        </w:tc>
        <w:tc>
          <w:tcPr>
            <w:tcW w:w="709" w:type="dxa"/>
            <w:vAlign w:val="center"/>
          </w:tcPr>
          <w:p>
            <w:pPr>
              <w:pStyle w:val="49"/>
              <w:numPr>
                <w:ilvl w:val="1"/>
                <w:numId w:val="0"/>
              </w:numPr>
              <w:jc w:val="center"/>
              <w:rPr>
                <w:rFonts w:ascii="宋体"/>
                <w:sz w:val="18"/>
                <w:szCs w:val="18"/>
              </w:rPr>
            </w:pPr>
            <w:r>
              <w:rPr>
                <w:rFonts w:hint="eastAsia" w:ascii="宋体"/>
                <w:sz w:val="18"/>
                <w:szCs w:val="18"/>
              </w:rPr>
              <w:t>0.5</w:t>
            </w:r>
          </w:p>
        </w:tc>
        <w:tc>
          <w:tcPr>
            <w:tcW w:w="992" w:type="dxa"/>
            <w:vMerge w:val="continue"/>
            <w:vAlign w:val="center"/>
          </w:tcPr>
          <w:p>
            <w:pPr>
              <w:pStyle w:val="49"/>
              <w:numPr>
                <w:ilvl w:val="1"/>
                <w:numId w:val="0"/>
              </w:numPr>
              <w:ind w:left="2" w:leftChars="1"/>
              <w:jc w:val="center"/>
              <w:rPr>
                <w:rFonts w:ascii="宋体"/>
                <w:sz w:val="18"/>
                <w:szCs w:val="18"/>
              </w:rPr>
            </w:pPr>
          </w:p>
        </w:tc>
        <w:tc>
          <w:tcPr>
            <w:tcW w:w="992" w:type="dxa"/>
            <w:vMerge w:val="continue"/>
            <w:vAlign w:val="center"/>
          </w:tcPr>
          <w:p>
            <w:pPr>
              <w:pStyle w:val="49"/>
              <w:numPr>
                <w:ilvl w:val="1"/>
                <w:numId w:val="0"/>
              </w:numPr>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Merge w:val="continue"/>
            <w:vAlign w:val="top"/>
          </w:tcPr>
          <w:p>
            <w:pPr>
              <w:pStyle w:val="21"/>
              <w:ind w:firstLine="0" w:firstLineChars="0"/>
            </w:pPr>
          </w:p>
        </w:tc>
        <w:tc>
          <w:tcPr>
            <w:tcW w:w="1195" w:type="dxa"/>
            <w:vMerge w:val="continue"/>
            <w:vAlign w:val="center"/>
          </w:tcPr>
          <w:p>
            <w:pPr>
              <w:pStyle w:val="49"/>
              <w:numPr>
                <w:ilvl w:val="1"/>
                <w:numId w:val="0"/>
              </w:numPr>
              <w:ind w:left="23" w:leftChars="11"/>
              <w:jc w:val="center"/>
              <w:rPr>
                <w:rFonts w:ascii="宋体"/>
                <w:sz w:val="18"/>
                <w:szCs w:val="18"/>
              </w:rPr>
            </w:pPr>
          </w:p>
        </w:tc>
        <w:tc>
          <w:tcPr>
            <w:tcW w:w="1454" w:type="dxa"/>
            <w:vMerge w:val="restart"/>
            <w:vAlign w:val="center"/>
          </w:tcPr>
          <w:p>
            <w:pPr>
              <w:pStyle w:val="49"/>
              <w:numPr>
                <w:ilvl w:val="1"/>
                <w:numId w:val="0"/>
              </w:numPr>
              <w:jc w:val="center"/>
              <w:rPr>
                <w:rFonts w:ascii="宋体"/>
                <w:sz w:val="18"/>
                <w:szCs w:val="18"/>
              </w:rPr>
            </w:pPr>
            <w:r>
              <w:rPr>
                <w:rFonts w:hint="eastAsia" w:ascii="宋体"/>
                <w:sz w:val="18"/>
                <w:szCs w:val="18"/>
              </w:rPr>
              <w:t>志愿者</w:t>
            </w:r>
            <w:r>
              <w:rPr>
                <w:rFonts w:ascii="宋体"/>
                <w:sz w:val="18"/>
                <w:szCs w:val="18"/>
              </w:rPr>
              <w:t>认同</w:t>
            </w:r>
          </w:p>
        </w:tc>
        <w:tc>
          <w:tcPr>
            <w:tcW w:w="3402" w:type="dxa"/>
            <w:vAlign w:val="center"/>
          </w:tcPr>
          <w:p>
            <w:pPr>
              <w:jc w:val="left"/>
              <w:rPr>
                <w:rFonts w:ascii="宋体"/>
                <w:color w:val="000000"/>
                <w:sz w:val="18"/>
                <w:szCs w:val="18"/>
              </w:rPr>
            </w:pPr>
            <w:r>
              <w:rPr>
                <w:rFonts w:hint="eastAsia" w:ascii="宋体"/>
                <w:color w:val="000000"/>
                <w:sz w:val="18"/>
                <w:szCs w:val="18"/>
              </w:rPr>
              <w:t>志愿服务组织的志愿者流失率</w:t>
            </w:r>
          </w:p>
        </w:tc>
        <w:tc>
          <w:tcPr>
            <w:tcW w:w="709" w:type="dxa"/>
            <w:vAlign w:val="center"/>
          </w:tcPr>
          <w:p>
            <w:pPr>
              <w:pStyle w:val="49"/>
              <w:numPr>
                <w:ilvl w:val="1"/>
                <w:numId w:val="0"/>
              </w:numPr>
              <w:jc w:val="center"/>
              <w:rPr>
                <w:rFonts w:ascii="宋体"/>
                <w:sz w:val="18"/>
                <w:szCs w:val="18"/>
              </w:rPr>
            </w:pPr>
            <w:r>
              <w:rPr>
                <w:rFonts w:hint="eastAsia" w:ascii="宋体"/>
                <w:sz w:val="18"/>
                <w:szCs w:val="18"/>
              </w:rPr>
              <w:t>1</w:t>
            </w:r>
          </w:p>
        </w:tc>
        <w:tc>
          <w:tcPr>
            <w:tcW w:w="992" w:type="dxa"/>
            <w:vMerge w:val="continue"/>
            <w:vAlign w:val="center"/>
          </w:tcPr>
          <w:p>
            <w:pPr>
              <w:pStyle w:val="49"/>
              <w:numPr>
                <w:ilvl w:val="1"/>
                <w:numId w:val="0"/>
              </w:numPr>
              <w:ind w:left="2" w:leftChars="1"/>
              <w:jc w:val="center"/>
              <w:rPr>
                <w:rFonts w:ascii="宋体"/>
                <w:sz w:val="18"/>
                <w:szCs w:val="18"/>
              </w:rPr>
            </w:pPr>
          </w:p>
        </w:tc>
        <w:tc>
          <w:tcPr>
            <w:tcW w:w="992" w:type="dxa"/>
            <w:vMerge w:val="continue"/>
            <w:vAlign w:val="center"/>
          </w:tcPr>
          <w:p>
            <w:pPr>
              <w:pStyle w:val="49"/>
              <w:numPr>
                <w:ilvl w:val="1"/>
                <w:numId w:val="0"/>
              </w:numPr>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Merge w:val="continue"/>
            <w:vAlign w:val="top"/>
          </w:tcPr>
          <w:p>
            <w:pPr>
              <w:pStyle w:val="21"/>
              <w:ind w:firstLine="0" w:firstLineChars="0"/>
            </w:pPr>
          </w:p>
        </w:tc>
        <w:tc>
          <w:tcPr>
            <w:tcW w:w="1195" w:type="dxa"/>
            <w:vMerge w:val="continue"/>
            <w:vAlign w:val="center"/>
          </w:tcPr>
          <w:p>
            <w:pPr>
              <w:pStyle w:val="49"/>
              <w:numPr>
                <w:ilvl w:val="1"/>
                <w:numId w:val="0"/>
              </w:numPr>
              <w:ind w:left="23" w:leftChars="11"/>
              <w:jc w:val="center"/>
              <w:rPr>
                <w:rFonts w:ascii="宋体"/>
                <w:sz w:val="18"/>
                <w:szCs w:val="18"/>
              </w:rPr>
            </w:pPr>
          </w:p>
        </w:tc>
        <w:tc>
          <w:tcPr>
            <w:tcW w:w="1454" w:type="dxa"/>
            <w:vMerge w:val="continue"/>
            <w:vAlign w:val="center"/>
          </w:tcPr>
          <w:p>
            <w:pPr>
              <w:pStyle w:val="49"/>
              <w:numPr>
                <w:ilvl w:val="1"/>
                <w:numId w:val="0"/>
              </w:numPr>
              <w:jc w:val="center"/>
              <w:rPr>
                <w:rFonts w:ascii="宋体"/>
                <w:sz w:val="18"/>
                <w:szCs w:val="18"/>
              </w:rPr>
            </w:pPr>
          </w:p>
        </w:tc>
        <w:tc>
          <w:tcPr>
            <w:tcW w:w="3402" w:type="dxa"/>
            <w:vAlign w:val="center"/>
          </w:tcPr>
          <w:p>
            <w:pPr>
              <w:jc w:val="left"/>
              <w:rPr>
                <w:rFonts w:ascii="宋体"/>
                <w:color w:val="000000"/>
                <w:sz w:val="18"/>
                <w:szCs w:val="18"/>
              </w:rPr>
            </w:pPr>
            <w:r>
              <w:rPr>
                <w:rFonts w:hint="eastAsia" w:ascii="宋体"/>
                <w:color w:val="000000"/>
                <w:sz w:val="18"/>
                <w:szCs w:val="18"/>
              </w:rPr>
              <w:t>志愿者的投诉率</w:t>
            </w:r>
          </w:p>
        </w:tc>
        <w:tc>
          <w:tcPr>
            <w:tcW w:w="709" w:type="dxa"/>
            <w:vAlign w:val="center"/>
          </w:tcPr>
          <w:p>
            <w:pPr>
              <w:pStyle w:val="49"/>
              <w:numPr>
                <w:ilvl w:val="1"/>
                <w:numId w:val="0"/>
              </w:numPr>
              <w:jc w:val="center"/>
              <w:rPr>
                <w:rFonts w:ascii="宋体"/>
                <w:sz w:val="18"/>
                <w:szCs w:val="18"/>
              </w:rPr>
            </w:pPr>
            <w:r>
              <w:rPr>
                <w:rFonts w:ascii="宋体"/>
                <w:sz w:val="18"/>
                <w:szCs w:val="18"/>
              </w:rPr>
              <w:t>1</w:t>
            </w:r>
          </w:p>
        </w:tc>
        <w:tc>
          <w:tcPr>
            <w:tcW w:w="992" w:type="dxa"/>
            <w:vMerge w:val="continue"/>
            <w:vAlign w:val="center"/>
          </w:tcPr>
          <w:p>
            <w:pPr>
              <w:pStyle w:val="49"/>
              <w:numPr>
                <w:ilvl w:val="1"/>
                <w:numId w:val="0"/>
              </w:numPr>
              <w:ind w:left="2" w:leftChars="1"/>
              <w:jc w:val="center"/>
              <w:rPr>
                <w:rFonts w:ascii="宋体"/>
                <w:sz w:val="18"/>
                <w:szCs w:val="18"/>
              </w:rPr>
            </w:pPr>
          </w:p>
        </w:tc>
        <w:tc>
          <w:tcPr>
            <w:tcW w:w="992" w:type="dxa"/>
            <w:vMerge w:val="continue"/>
            <w:vAlign w:val="center"/>
          </w:tcPr>
          <w:p>
            <w:pPr>
              <w:pStyle w:val="49"/>
              <w:numPr>
                <w:ilvl w:val="1"/>
                <w:numId w:val="0"/>
              </w:numPr>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Merge w:val="continue"/>
            <w:vAlign w:val="top"/>
          </w:tcPr>
          <w:p>
            <w:pPr>
              <w:pStyle w:val="21"/>
              <w:ind w:firstLine="0" w:firstLineChars="0"/>
            </w:pPr>
          </w:p>
        </w:tc>
        <w:tc>
          <w:tcPr>
            <w:tcW w:w="1195" w:type="dxa"/>
            <w:vMerge w:val="continue"/>
            <w:vAlign w:val="center"/>
          </w:tcPr>
          <w:p>
            <w:pPr>
              <w:pStyle w:val="49"/>
              <w:numPr>
                <w:ilvl w:val="1"/>
                <w:numId w:val="0"/>
              </w:numPr>
              <w:ind w:left="23" w:leftChars="11"/>
              <w:jc w:val="center"/>
              <w:rPr>
                <w:rFonts w:ascii="宋体"/>
                <w:sz w:val="18"/>
                <w:szCs w:val="18"/>
              </w:rPr>
            </w:pPr>
          </w:p>
        </w:tc>
        <w:tc>
          <w:tcPr>
            <w:tcW w:w="1454" w:type="dxa"/>
            <w:vMerge w:val="restart"/>
            <w:vAlign w:val="center"/>
          </w:tcPr>
          <w:p>
            <w:pPr>
              <w:pStyle w:val="49"/>
              <w:numPr>
                <w:ilvl w:val="1"/>
                <w:numId w:val="0"/>
              </w:numPr>
              <w:jc w:val="center"/>
              <w:rPr>
                <w:rFonts w:ascii="宋体"/>
                <w:sz w:val="18"/>
                <w:szCs w:val="18"/>
              </w:rPr>
            </w:pPr>
            <w:r>
              <w:rPr>
                <w:rFonts w:hint="eastAsia" w:ascii="宋体"/>
                <w:sz w:val="18"/>
                <w:szCs w:val="18"/>
              </w:rPr>
              <w:t>公众</w:t>
            </w:r>
            <w:r>
              <w:rPr>
                <w:rFonts w:ascii="宋体"/>
                <w:sz w:val="18"/>
                <w:szCs w:val="18"/>
              </w:rPr>
              <w:t>认同</w:t>
            </w:r>
          </w:p>
        </w:tc>
        <w:tc>
          <w:tcPr>
            <w:tcW w:w="3402" w:type="dxa"/>
            <w:vAlign w:val="center"/>
          </w:tcPr>
          <w:p>
            <w:pPr>
              <w:jc w:val="left"/>
              <w:rPr>
                <w:rFonts w:ascii="宋体"/>
                <w:color w:val="000000"/>
                <w:sz w:val="18"/>
                <w:szCs w:val="18"/>
              </w:rPr>
            </w:pPr>
            <w:r>
              <w:rPr>
                <w:rFonts w:hint="eastAsia" w:ascii="宋体"/>
                <w:color w:val="000000"/>
                <w:sz w:val="18"/>
                <w:szCs w:val="18"/>
              </w:rPr>
              <w:t>获得政府相关部门奖励的次数</w:t>
            </w:r>
          </w:p>
        </w:tc>
        <w:tc>
          <w:tcPr>
            <w:tcW w:w="709" w:type="dxa"/>
            <w:vAlign w:val="center"/>
          </w:tcPr>
          <w:p>
            <w:pPr>
              <w:pStyle w:val="49"/>
              <w:numPr>
                <w:ilvl w:val="1"/>
                <w:numId w:val="0"/>
              </w:numPr>
              <w:jc w:val="center"/>
              <w:rPr>
                <w:rFonts w:ascii="宋体"/>
                <w:sz w:val="18"/>
                <w:szCs w:val="18"/>
              </w:rPr>
            </w:pPr>
            <w:r>
              <w:rPr>
                <w:rFonts w:hint="eastAsia" w:ascii="宋体"/>
                <w:sz w:val="18"/>
                <w:szCs w:val="18"/>
              </w:rPr>
              <w:t>0.5</w:t>
            </w:r>
          </w:p>
        </w:tc>
        <w:tc>
          <w:tcPr>
            <w:tcW w:w="992" w:type="dxa"/>
            <w:vMerge w:val="continue"/>
            <w:vAlign w:val="center"/>
          </w:tcPr>
          <w:p>
            <w:pPr>
              <w:pStyle w:val="49"/>
              <w:numPr>
                <w:ilvl w:val="1"/>
                <w:numId w:val="0"/>
              </w:numPr>
              <w:ind w:left="2" w:leftChars="1"/>
              <w:jc w:val="center"/>
              <w:rPr>
                <w:rFonts w:ascii="宋体"/>
                <w:sz w:val="18"/>
                <w:szCs w:val="18"/>
              </w:rPr>
            </w:pPr>
          </w:p>
        </w:tc>
        <w:tc>
          <w:tcPr>
            <w:tcW w:w="992" w:type="dxa"/>
            <w:vMerge w:val="continue"/>
            <w:vAlign w:val="center"/>
          </w:tcPr>
          <w:p>
            <w:pPr>
              <w:pStyle w:val="49"/>
              <w:numPr>
                <w:ilvl w:val="1"/>
                <w:numId w:val="0"/>
              </w:numPr>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Merge w:val="continue"/>
            <w:vAlign w:val="top"/>
          </w:tcPr>
          <w:p>
            <w:pPr>
              <w:pStyle w:val="21"/>
              <w:ind w:firstLine="0" w:firstLineChars="0"/>
            </w:pPr>
          </w:p>
        </w:tc>
        <w:tc>
          <w:tcPr>
            <w:tcW w:w="1195" w:type="dxa"/>
            <w:vMerge w:val="continue"/>
            <w:vAlign w:val="center"/>
          </w:tcPr>
          <w:p>
            <w:pPr>
              <w:pStyle w:val="49"/>
              <w:numPr>
                <w:ilvl w:val="1"/>
                <w:numId w:val="0"/>
              </w:numPr>
              <w:ind w:left="23" w:leftChars="11"/>
              <w:jc w:val="center"/>
              <w:rPr>
                <w:rFonts w:ascii="宋体"/>
                <w:sz w:val="18"/>
                <w:szCs w:val="18"/>
              </w:rPr>
            </w:pPr>
          </w:p>
        </w:tc>
        <w:tc>
          <w:tcPr>
            <w:tcW w:w="1454" w:type="dxa"/>
            <w:vMerge w:val="continue"/>
            <w:vAlign w:val="center"/>
          </w:tcPr>
          <w:p>
            <w:pPr>
              <w:pStyle w:val="49"/>
              <w:numPr>
                <w:ilvl w:val="1"/>
                <w:numId w:val="0"/>
              </w:numPr>
              <w:jc w:val="center"/>
              <w:rPr>
                <w:rFonts w:ascii="宋体"/>
                <w:sz w:val="18"/>
                <w:szCs w:val="18"/>
              </w:rPr>
            </w:pPr>
          </w:p>
        </w:tc>
        <w:tc>
          <w:tcPr>
            <w:tcW w:w="3402" w:type="dxa"/>
            <w:vAlign w:val="center"/>
          </w:tcPr>
          <w:p>
            <w:pPr>
              <w:jc w:val="left"/>
              <w:rPr>
                <w:rFonts w:ascii="宋体"/>
                <w:color w:val="000000"/>
                <w:sz w:val="18"/>
                <w:szCs w:val="18"/>
              </w:rPr>
            </w:pPr>
            <w:r>
              <w:rPr>
                <w:rFonts w:hint="eastAsia" w:ascii="宋体"/>
                <w:color w:val="000000"/>
                <w:sz w:val="18"/>
                <w:szCs w:val="18"/>
              </w:rPr>
              <w:t>媒体对志愿服务组织的正面报道次数</w:t>
            </w:r>
          </w:p>
        </w:tc>
        <w:tc>
          <w:tcPr>
            <w:tcW w:w="709" w:type="dxa"/>
            <w:vAlign w:val="center"/>
          </w:tcPr>
          <w:p>
            <w:pPr>
              <w:pStyle w:val="49"/>
              <w:numPr>
                <w:ilvl w:val="1"/>
                <w:numId w:val="0"/>
              </w:numPr>
              <w:jc w:val="center"/>
              <w:rPr>
                <w:rFonts w:ascii="宋体"/>
                <w:sz w:val="18"/>
                <w:szCs w:val="18"/>
              </w:rPr>
            </w:pPr>
            <w:r>
              <w:rPr>
                <w:rFonts w:hint="eastAsia" w:ascii="宋体"/>
                <w:sz w:val="18"/>
                <w:szCs w:val="18"/>
              </w:rPr>
              <w:t>1</w:t>
            </w:r>
          </w:p>
        </w:tc>
        <w:tc>
          <w:tcPr>
            <w:tcW w:w="992" w:type="dxa"/>
            <w:vMerge w:val="continue"/>
            <w:vAlign w:val="center"/>
          </w:tcPr>
          <w:p>
            <w:pPr>
              <w:pStyle w:val="49"/>
              <w:numPr>
                <w:ilvl w:val="1"/>
                <w:numId w:val="0"/>
              </w:numPr>
              <w:ind w:left="2" w:leftChars="1"/>
              <w:jc w:val="center"/>
              <w:rPr>
                <w:rFonts w:ascii="宋体"/>
                <w:sz w:val="18"/>
                <w:szCs w:val="18"/>
              </w:rPr>
            </w:pPr>
          </w:p>
        </w:tc>
        <w:tc>
          <w:tcPr>
            <w:tcW w:w="992" w:type="dxa"/>
            <w:vMerge w:val="continue"/>
            <w:vAlign w:val="center"/>
          </w:tcPr>
          <w:p>
            <w:pPr>
              <w:pStyle w:val="49"/>
              <w:numPr>
                <w:ilvl w:val="1"/>
                <w:numId w:val="0"/>
              </w:numPr>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Merge w:val="continue"/>
            <w:vAlign w:val="top"/>
          </w:tcPr>
          <w:p>
            <w:pPr>
              <w:pStyle w:val="21"/>
              <w:ind w:firstLine="0" w:firstLineChars="0"/>
            </w:pPr>
          </w:p>
        </w:tc>
        <w:tc>
          <w:tcPr>
            <w:tcW w:w="1195" w:type="dxa"/>
            <w:vMerge w:val="continue"/>
            <w:vAlign w:val="center"/>
          </w:tcPr>
          <w:p>
            <w:pPr>
              <w:pStyle w:val="49"/>
              <w:numPr>
                <w:ilvl w:val="1"/>
                <w:numId w:val="0"/>
              </w:numPr>
              <w:ind w:left="23" w:leftChars="11"/>
              <w:jc w:val="center"/>
              <w:rPr>
                <w:rFonts w:ascii="宋体"/>
                <w:sz w:val="18"/>
                <w:szCs w:val="18"/>
              </w:rPr>
            </w:pPr>
          </w:p>
        </w:tc>
        <w:tc>
          <w:tcPr>
            <w:tcW w:w="1454" w:type="dxa"/>
            <w:vMerge w:val="continue"/>
            <w:vAlign w:val="center"/>
          </w:tcPr>
          <w:p>
            <w:pPr>
              <w:pStyle w:val="49"/>
              <w:numPr>
                <w:ilvl w:val="1"/>
                <w:numId w:val="0"/>
              </w:numPr>
              <w:jc w:val="center"/>
              <w:rPr>
                <w:rFonts w:ascii="宋体"/>
                <w:sz w:val="18"/>
                <w:szCs w:val="18"/>
              </w:rPr>
            </w:pPr>
          </w:p>
        </w:tc>
        <w:tc>
          <w:tcPr>
            <w:tcW w:w="3402" w:type="dxa"/>
            <w:vAlign w:val="center"/>
          </w:tcPr>
          <w:p>
            <w:pPr>
              <w:jc w:val="left"/>
            </w:pPr>
            <w:r>
              <w:rPr>
                <w:rFonts w:hint="eastAsia" w:ascii="宋体"/>
                <w:sz w:val="18"/>
                <w:szCs w:val="18"/>
              </w:rPr>
              <w:t>志愿服务资金或物资的社会捐赠额</w:t>
            </w:r>
          </w:p>
        </w:tc>
        <w:tc>
          <w:tcPr>
            <w:tcW w:w="709" w:type="dxa"/>
            <w:vAlign w:val="center"/>
          </w:tcPr>
          <w:p>
            <w:pPr>
              <w:pStyle w:val="49"/>
              <w:numPr>
                <w:ilvl w:val="1"/>
                <w:numId w:val="0"/>
              </w:numPr>
              <w:jc w:val="center"/>
              <w:rPr>
                <w:rFonts w:ascii="宋体"/>
                <w:sz w:val="18"/>
                <w:szCs w:val="18"/>
              </w:rPr>
            </w:pPr>
            <w:r>
              <w:rPr>
                <w:rFonts w:hint="eastAsia" w:ascii="宋体"/>
                <w:sz w:val="18"/>
                <w:szCs w:val="18"/>
              </w:rPr>
              <w:t>1</w:t>
            </w:r>
          </w:p>
        </w:tc>
        <w:tc>
          <w:tcPr>
            <w:tcW w:w="992" w:type="dxa"/>
            <w:vMerge w:val="continue"/>
            <w:vAlign w:val="center"/>
          </w:tcPr>
          <w:p>
            <w:pPr>
              <w:pStyle w:val="49"/>
              <w:numPr>
                <w:ilvl w:val="1"/>
                <w:numId w:val="0"/>
              </w:numPr>
              <w:ind w:left="2" w:leftChars="1"/>
              <w:jc w:val="center"/>
              <w:rPr>
                <w:rFonts w:ascii="宋体"/>
                <w:sz w:val="18"/>
                <w:szCs w:val="18"/>
              </w:rPr>
            </w:pPr>
          </w:p>
        </w:tc>
        <w:tc>
          <w:tcPr>
            <w:tcW w:w="992" w:type="dxa"/>
            <w:vMerge w:val="continue"/>
            <w:vAlign w:val="center"/>
          </w:tcPr>
          <w:p>
            <w:pPr>
              <w:pStyle w:val="49"/>
              <w:numPr>
                <w:ilvl w:val="1"/>
                <w:numId w:val="0"/>
              </w:numPr>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8" w:type="dxa"/>
            <w:vAlign w:val="top"/>
          </w:tcPr>
          <w:p>
            <w:pPr>
              <w:pStyle w:val="21"/>
              <w:ind w:firstLine="0" w:firstLineChars="0"/>
              <w:jc w:val="center"/>
            </w:pPr>
            <w:r>
              <w:rPr>
                <w:rFonts w:hint="eastAsia" w:ascii="宋体"/>
                <w:sz w:val="18"/>
                <w:szCs w:val="18"/>
              </w:rPr>
              <w:t>3</w:t>
            </w:r>
          </w:p>
        </w:tc>
        <w:tc>
          <w:tcPr>
            <w:tcW w:w="1195" w:type="dxa"/>
            <w:vAlign w:val="center"/>
          </w:tcPr>
          <w:p>
            <w:pPr>
              <w:pStyle w:val="49"/>
              <w:numPr>
                <w:ilvl w:val="1"/>
                <w:numId w:val="0"/>
              </w:numPr>
              <w:jc w:val="center"/>
              <w:rPr>
                <w:rFonts w:ascii="宋体"/>
                <w:sz w:val="18"/>
                <w:szCs w:val="18"/>
              </w:rPr>
            </w:pPr>
            <w:r>
              <w:rPr>
                <w:rFonts w:hint="eastAsia" w:ascii="宋体"/>
                <w:sz w:val="18"/>
                <w:szCs w:val="18"/>
              </w:rPr>
              <w:t>信用</w:t>
            </w:r>
            <w:r>
              <w:rPr>
                <w:rFonts w:ascii="宋体"/>
                <w:sz w:val="18"/>
                <w:szCs w:val="18"/>
              </w:rPr>
              <w:t>与荣誉</w:t>
            </w:r>
          </w:p>
        </w:tc>
        <w:tc>
          <w:tcPr>
            <w:tcW w:w="1454" w:type="dxa"/>
            <w:vAlign w:val="center"/>
          </w:tcPr>
          <w:p>
            <w:pPr>
              <w:pStyle w:val="49"/>
              <w:numPr>
                <w:ilvl w:val="1"/>
                <w:numId w:val="0"/>
              </w:numPr>
              <w:jc w:val="center"/>
              <w:rPr>
                <w:rFonts w:ascii="宋体"/>
                <w:sz w:val="18"/>
                <w:szCs w:val="18"/>
              </w:rPr>
            </w:pPr>
            <w:r>
              <w:rPr>
                <w:rFonts w:hint="eastAsia" w:ascii="宋体"/>
                <w:sz w:val="18"/>
                <w:szCs w:val="18"/>
              </w:rPr>
              <w:t>信用</w:t>
            </w:r>
          </w:p>
        </w:tc>
        <w:tc>
          <w:tcPr>
            <w:tcW w:w="3402" w:type="dxa"/>
            <w:vAlign w:val="center"/>
          </w:tcPr>
          <w:p>
            <w:pPr>
              <w:jc w:val="left"/>
            </w:pPr>
            <w:r>
              <w:rPr>
                <w:rFonts w:hint="eastAsia" w:ascii="宋体"/>
                <w:sz w:val="18"/>
                <w:szCs w:val="18"/>
              </w:rPr>
              <w:t>具有志愿者、志愿服务对象隐私保护措施</w:t>
            </w:r>
          </w:p>
        </w:tc>
        <w:tc>
          <w:tcPr>
            <w:tcW w:w="709" w:type="dxa"/>
            <w:vAlign w:val="center"/>
          </w:tcPr>
          <w:p>
            <w:pPr>
              <w:pStyle w:val="49"/>
              <w:numPr>
                <w:ilvl w:val="1"/>
                <w:numId w:val="0"/>
              </w:numPr>
              <w:jc w:val="center"/>
              <w:rPr>
                <w:rFonts w:ascii="宋体"/>
                <w:sz w:val="18"/>
                <w:szCs w:val="18"/>
              </w:rPr>
            </w:pPr>
            <w:r>
              <w:rPr>
                <w:rFonts w:hint="eastAsia" w:ascii="宋体"/>
                <w:sz w:val="18"/>
                <w:szCs w:val="18"/>
              </w:rPr>
              <w:t>1</w:t>
            </w:r>
          </w:p>
        </w:tc>
        <w:tc>
          <w:tcPr>
            <w:tcW w:w="992" w:type="dxa"/>
            <w:vAlign w:val="center"/>
          </w:tcPr>
          <w:p>
            <w:pPr>
              <w:pStyle w:val="49"/>
              <w:numPr>
                <w:ilvl w:val="1"/>
                <w:numId w:val="0"/>
              </w:numPr>
              <w:jc w:val="center"/>
              <w:rPr>
                <w:rFonts w:ascii="宋体"/>
                <w:sz w:val="18"/>
                <w:szCs w:val="18"/>
              </w:rPr>
            </w:pPr>
            <w:r>
              <w:rPr>
                <w:rFonts w:hint="eastAsia" w:ascii="宋体"/>
                <w:sz w:val="18"/>
                <w:szCs w:val="18"/>
              </w:rPr>
              <w:t>0.2</w:t>
            </w:r>
          </w:p>
        </w:tc>
        <w:tc>
          <w:tcPr>
            <w:tcW w:w="992" w:type="dxa"/>
            <w:vAlign w:val="center"/>
          </w:tcPr>
          <w:p>
            <w:pPr>
              <w:pStyle w:val="49"/>
              <w:numPr>
                <w:ilvl w:val="1"/>
                <w:numId w:val="0"/>
              </w:numPr>
              <w:jc w:val="center"/>
              <w:rPr>
                <w:rFonts w:ascii="宋体"/>
                <w:sz w:val="18"/>
                <w:szCs w:val="18"/>
              </w:rPr>
            </w:pPr>
            <w:r>
              <w:rPr>
                <w:rFonts w:hint="eastAsia" w:ascii="宋体"/>
                <w:sz w:val="18"/>
                <w:szCs w:val="18"/>
              </w:rPr>
              <w:t>0.2</w:t>
            </w:r>
          </w:p>
        </w:tc>
      </w:tr>
    </w:tbl>
    <w:p>
      <w:pPr>
        <w:pStyle w:val="21"/>
      </w:pPr>
    </w:p>
    <w:p>
      <w:pPr>
        <w:pStyle w:val="96"/>
        <w:spacing w:before="156" w:after="156"/>
      </w:pPr>
      <w:r>
        <w:rPr>
          <w:rFonts w:hint="eastAsia"/>
        </w:rPr>
        <w:t>计算</w:t>
      </w:r>
      <w:r>
        <w:t>总分</w:t>
      </w:r>
    </w:p>
    <w:p>
      <w:pPr>
        <w:pStyle w:val="21"/>
      </w:pPr>
      <w:r>
        <w:rPr>
          <w:rFonts w:hint="eastAsia"/>
        </w:rPr>
        <w:t>根据</w:t>
      </w:r>
      <w:r>
        <w:t>各评价模块实际得分</w:t>
      </w:r>
      <w:r>
        <w:rPr>
          <w:rFonts w:hint="eastAsia"/>
        </w:rPr>
        <w:t>，</w:t>
      </w:r>
      <w:r>
        <w:t>换算百分</w:t>
      </w:r>
      <w:r>
        <w:rPr>
          <w:rFonts w:hint="eastAsia"/>
        </w:rPr>
        <w:t>制</w:t>
      </w:r>
      <w:r>
        <w:t>，计算总得分。</w:t>
      </w:r>
      <w:r>
        <w:rPr>
          <w:rFonts w:hint="eastAsia"/>
        </w:rPr>
        <w:t>换算方法</w:t>
      </w:r>
      <w:r>
        <w:t>见</w:t>
      </w:r>
      <w:r>
        <w:rPr>
          <w:rFonts w:hint="eastAsia"/>
        </w:rPr>
        <w:t>公式（</w:t>
      </w:r>
      <w:r>
        <w:t>B.1</w:t>
      </w:r>
      <w:r>
        <w:rPr>
          <w:rFonts w:hint="eastAsia"/>
        </w:rPr>
        <w:t>）。</w:t>
      </w:r>
    </w:p>
    <w:p>
      <w:pPr>
        <w:pStyle w:val="21"/>
        <w:ind w:firstLine="0" w:firstLineChars="0"/>
      </w:pPr>
      <w:r>
        <w:tab/>
      </w:r>
      <w:r>
        <w:tab/>
      </w:r>
      <w:r>
        <w:t>(B.</w:t>
      </w:r>
      <w:r>
        <w:fldChar w:fldCharType="begin"/>
      </w:r>
      <w:r>
        <w:instrText xml:space="preserve"> </w:instrText>
      </w:r>
      <w:r>
        <w:rPr>
          <w:rFonts w:hint="eastAsia"/>
        </w:rPr>
        <w:instrText xml:space="preserve">seq 附录公式 \r 1</w:instrText>
      </w:r>
      <w:r>
        <w:instrText xml:space="preserve"> </w:instrText>
      </w:r>
      <w:r>
        <w:fldChar w:fldCharType="separate"/>
      </w:r>
      <w:r>
        <w:t>1</w:t>
      </w:r>
      <w:r>
        <w:fldChar w:fldCharType="end"/>
      </w:r>
      <w:r>
        <w:t>)</w:t>
      </w:r>
    </w:p>
    <w:p>
      <w:pPr>
        <w:pStyle w:val="21"/>
      </w:pPr>
    </w:p>
    <w:p>
      <w:pPr>
        <w:pStyle w:val="21"/>
      </w:pPr>
      <w:r>
        <w:rPr>
          <w:rFonts w:hint="eastAsia"/>
        </w:rPr>
        <w:t>式中：</w:t>
      </w:r>
    </w:p>
    <w:p>
      <w:pPr>
        <w:pStyle w:val="21"/>
        <w:snapToGrid w:val="0"/>
      </w:pPr>
      <w:r>
        <w:t xml:space="preserve"> </w:t>
      </w:r>
      <w:r>
        <w:rPr>
          <w:rFonts w:hint="eastAsia"/>
        </w:rPr>
        <w:t xml:space="preserve"> ——志愿服务组织评价的总分；</w:t>
      </w:r>
    </w:p>
    <w:p>
      <w:pPr>
        <w:pStyle w:val="21"/>
        <w:snapToGrid w:val="0"/>
        <w:rPr>
          <w:position w:val="-8"/>
        </w:rPr>
      </w:pPr>
      <w:r>
        <w:rPr>
          <w:position w:val="-8"/>
        </w:rPr>
        <w:t xml:space="preserve"> </w:t>
      </w:r>
      <w:r>
        <w:rPr>
          <w:rFonts w:hint="eastAsia"/>
          <w:position w:val="-8"/>
        </w:rPr>
        <w:t>——评价模块实际分数；</w:t>
      </w:r>
    </w:p>
    <w:p>
      <w:pPr>
        <w:pStyle w:val="21"/>
        <w:snapToGrid w:val="0"/>
        <w:rPr>
          <w:position w:val="-8"/>
        </w:rPr>
      </w:pPr>
      <w:r>
        <w:rPr>
          <w:position w:val="-8"/>
        </w:rPr>
        <w:t xml:space="preserve"> </w:t>
      </w:r>
      <w:r>
        <w:rPr>
          <w:rFonts w:hint="eastAsia"/>
          <w:position w:val="-8"/>
        </w:rPr>
        <w:t>——评价模块</w:t>
      </w:r>
      <w:r>
        <w:rPr>
          <w:position w:val="-8"/>
        </w:rPr>
        <w:t>满分</w:t>
      </w:r>
      <w:r>
        <w:rPr>
          <w:rFonts w:hint="eastAsia"/>
          <w:position w:val="-8"/>
        </w:rPr>
        <w:t>分数。</w:t>
      </w:r>
    </w:p>
    <w:p>
      <w:pPr>
        <w:pStyle w:val="21"/>
      </w:pPr>
      <w:r>
        <w:rPr>
          <w:rFonts w:hint="eastAsia"/>
        </w:rPr>
        <w:t>根据百分制</w:t>
      </w:r>
      <w:r>
        <w:t>换算公式，</w:t>
      </w:r>
      <w:r>
        <w:rPr>
          <w:rFonts w:hint="eastAsia"/>
        </w:rPr>
        <w:t>A</w:t>
      </w:r>
      <w:r>
        <w:t>志愿服务组织</w:t>
      </w:r>
      <w:r>
        <w:rPr>
          <w:rFonts w:hint="eastAsia"/>
        </w:rPr>
        <w:t>本次</w:t>
      </w:r>
      <w:r>
        <w:t>评价</w:t>
      </w:r>
      <w:r>
        <w:rPr>
          <w:rFonts w:hint="eastAsia"/>
        </w:rPr>
        <w:t>总分</w:t>
      </w:r>
      <w:r>
        <w:t>为</w:t>
      </w:r>
      <w:r>
        <w:rPr>
          <w:rFonts w:hint="eastAsia"/>
        </w:rPr>
        <w:t>81.67分</w:t>
      </w:r>
      <w:r>
        <w:t>。</w:t>
      </w:r>
    </w:p>
    <w:p>
      <w:pPr>
        <w:pStyle w:val="80"/>
        <w:numPr>
          <w:ilvl w:val="0"/>
          <w:numId w:val="0"/>
        </w:numPr>
        <w:tabs>
          <w:tab w:val="clear" w:pos="0"/>
        </w:tabs>
        <w:ind w:left="811" w:hanging="448"/>
        <w:jc w:val="both"/>
        <w:rPr>
          <w:u w:val="single"/>
        </w:rPr>
      </w:pPr>
    </w:p>
    <w:p>
      <w:pPr>
        <w:pStyle w:val="66"/>
        <w:sectPr>
          <w:pgSz w:w="11906" w:h="16838"/>
          <w:pgMar w:top="567" w:right="1134" w:bottom="1134" w:left="1418" w:header="1418" w:footer="1134" w:gutter="0"/>
          <w:pgNumType w:start="1"/>
          <w:cols w:space="425" w:num="1"/>
          <w:formProt w:val="0"/>
          <w:docGrid w:type="lines" w:linePitch="312" w:charSpace="0"/>
        </w:sectPr>
      </w:pPr>
      <w:bookmarkStart w:id="421" w:name="BKCKWX"/>
      <w:bookmarkStart w:id="422" w:name="_Toc530475148"/>
      <w:bookmarkStart w:id="423" w:name="_Toc532820462"/>
      <w:bookmarkStart w:id="424" w:name="_Toc532820497"/>
    </w:p>
    <w:p>
      <w:pPr>
        <w:pStyle w:val="66"/>
      </w:pPr>
      <w:bookmarkStart w:id="425" w:name="_Toc533435881"/>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421"/>
      <w:bookmarkEnd w:id="422"/>
      <w:bookmarkEnd w:id="423"/>
      <w:bookmarkEnd w:id="424"/>
      <w:bookmarkEnd w:id="425"/>
    </w:p>
    <w:p>
      <w:pPr>
        <w:pStyle w:val="21"/>
        <w:numPr>
          <w:ilvl w:val="0"/>
          <w:numId w:val="52"/>
        </w:numPr>
        <w:rPr>
          <w:rFonts w:hAnsi="宋体" w:cs="宋体"/>
        </w:rPr>
      </w:pPr>
      <w:r>
        <w:rPr>
          <w:rFonts w:hint="eastAsia" w:hAnsi="宋体" w:cs="宋体"/>
          <w:szCs w:val="21"/>
        </w:rPr>
        <w:t>志愿服务条例 2017-08-22   国务院</w:t>
      </w:r>
    </w:p>
    <w:p>
      <w:pPr>
        <w:pStyle w:val="21"/>
        <w:numPr>
          <w:ilvl w:val="0"/>
          <w:numId w:val="52"/>
        </w:numPr>
        <w:rPr>
          <w:rFonts w:hAnsi="宋体" w:cs="宋体"/>
        </w:rPr>
      </w:pPr>
      <w:r>
        <w:rPr>
          <w:rFonts w:hint="eastAsia" w:hAnsi="宋体" w:cs="宋体"/>
          <w:szCs w:val="21"/>
        </w:rPr>
        <w:t xml:space="preserve">关于支持和发展志愿服务组织的意见  2016-07-11 </w:t>
      </w:r>
      <w:r>
        <w:rPr>
          <w:rFonts w:hint="eastAsia" w:hAnsi="宋体" w:cs="宋体"/>
          <w:szCs w:val="21"/>
          <w:shd w:val="clear" w:color="auto" w:fill="FFFFFF"/>
        </w:rPr>
        <w:t>中央宣传部、中央文明办、民政部、教育部、财政部、全国总工会、共青团中央和全国妇联</w:t>
      </w:r>
    </w:p>
    <w:p>
      <w:pPr>
        <w:pStyle w:val="21"/>
        <w:numPr>
          <w:ilvl w:val="0"/>
          <w:numId w:val="52"/>
        </w:numPr>
        <w:rPr>
          <w:rFonts w:hAnsi="宋体" w:cs="宋体"/>
        </w:rPr>
      </w:pPr>
      <w:r>
        <w:rPr>
          <w:rFonts w:hint="eastAsia" w:hAnsi="宋体" w:cs="宋体"/>
        </w:rPr>
        <w:t>中华人民共和国慈善法 2016-03-16 中华人民共和国主席令 第四十号</w:t>
      </w:r>
    </w:p>
    <w:p>
      <w:pPr>
        <w:pStyle w:val="21"/>
        <w:numPr>
          <w:ilvl w:val="0"/>
          <w:numId w:val="52"/>
        </w:numPr>
        <w:rPr>
          <w:rFonts w:hAnsi="宋体" w:cs="宋体"/>
          <w:szCs w:val="21"/>
        </w:rPr>
      </w:pPr>
      <w:r>
        <w:rPr>
          <w:rFonts w:hint="eastAsia" w:hAnsi="宋体" w:cs="宋体"/>
          <w:szCs w:val="21"/>
        </w:rPr>
        <w:t>关于推进志愿服务制度化的意见  2014-02-19 中央</w:t>
      </w:r>
      <w:r>
        <w:fldChar w:fldCharType="begin"/>
      </w:r>
      <w:r>
        <w:instrText xml:space="preserve">HYPERLINK "https://baike.baidu.com/item/ç²¾ç¥ææå»ºè®¾" \t "https://baike.baidu.com/item/%E5%85%B3%E4%BA%8E%E6%8E%A8%E8%BF%9B%E5%BF%97%E6%84%BF%E6%9C%8D%E5%8A%A1%E5%88%B6%E5%BA%A6%E5%8C%96%E7%9A%84%E6%84%8F%E8%A7%81/_blank" </w:instrText>
      </w:r>
      <w:r>
        <w:fldChar w:fldCharType="separate"/>
      </w:r>
      <w:r>
        <w:rPr>
          <w:rFonts w:hint="eastAsia" w:hAnsi="宋体" w:cs="宋体"/>
          <w:szCs w:val="21"/>
        </w:rPr>
        <w:t>精神文明建设</w:t>
      </w:r>
      <w:r>
        <w:fldChar w:fldCharType="end"/>
      </w:r>
      <w:r>
        <w:rPr>
          <w:rFonts w:hint="eastAsia" w:hAnsi="宋体" w:cs="宋体"/>
          <w:szCs w:val="21"/>
        </w:rPr>
        <w:t>指导委员会</w:t>
      </w:r>
    </w:p>
    <w:p>
      <w:pPr>
        <w:pStyle w:val="21"/>
        <w:numPr>
          <w:ilvl w:val="0"/>
          <w:numId w:val="52"/>
        </w:numPr>
        <w:rPr>
          <w:rFonts w:hAnsi="宋体" w:cs="宋体"/>
          <w:szCs w:val="21"/>
        </w:rPr>
      </w:pPr>
      <w:r>
        <w:rPr>
          <w:rFonts w:hint="eastAsia" w:hAnsi="宋体" w:cs="宋体"/>
          <w:szCs w:val="21"/>
        </w:rPr>
        <w:t>志愿服务记录办法  2012-10-23  民政部</w:t>
      </w:r>
    </w:p>
    <w:p>
      <w:pPr>
        <w:pStyle w:val="21"/>
        <w:numPr>
          <w:ilvl w:val="0"/>
          <w:numId w:val="52"/>
        </w:numPr>
        <w:rPr>
          <w:rFonts w:hAnsi="宋体" w:cs="宋体"/>
          <w:szCs w:val="21"/>
        </w:rPr>
      </w:pPr>
      <w:r>
        <w:rPr>
          <w:rFonts w:hint="eastAsia" w:hAnsi="宋体" w:cs="宋体"/>
          <w:szCs w:val="21"/>
        </w:rPr>
        <w:t>社会组织评估管理办法  2010-12-27  民政部</w:t>
      </w:r>
    </w:p>
    <w:p>
      <w:pPr>
        <w:pStyle w:val="21"/>
        <w:numPr>
          <w:ilvl w:val="0"/>
          <w:numId w:val="52"/>
        </w:numPr>
        <w:rPr>
          <w:rFonts w:hAnsi="宋体" w:cs="宋体"/>
          <w:szCs w:val="21"/>
        </w:rPr>
      </w:pPr>
      <w:r>
        <w:rPr>
          <w:rFonts w:hint="eastAsia" w:hAnsi="宋体" w:cs="宋体"/>
          <w:szCs w:val="21"/>
        </w:rPr>
        <w:t>基金会管理条例  2004-06-01 国务院</w:t>
      </w:r>
    </w:p>
    <w:p>
      <w:pPr>
        <w:pStyle w:val="21"/>
        <w:numPr>
          <w:ilvl w:val="0"/>
          <w:numId w:val="52"/>
        </w:numPr>
        <w:rPr>
          <w:rFonts w:hAnsi="宋体" w:cs="宋体"/>
          <w:szCs w:val="21"/>
        </w:rPr>
      </w:pPr>
      <w:r>
        <w:rPr>
          <w:rFonts w:hint="eastAsia" w:hAnsi="宋体" w:cs="宋体"/>
          <w:szCs w:val="21"/>
        </w:rPr>
        <w:t>社会团体登记管理条例  1998-09-25  国务院</w:t>
      </w:r>
    </w:p>
    <w:p>
      <w:pPr>
        <w:pStyle w:val="21"/>
      </w:pPr>
    </w:p>
    <w:p>
      <w:pPr>
        <w:pStyle w:val="121"/>
        <w:framePr/>
      </w:pPr>
      <w:r>
        <w:t>_________________________________</w:t>
      </w:r>
    </w:p>
    <w:sectPr>
      <w:pgSz w:w="11906" w:h="16838"/>
      <w:pgMar w:top="567" w:right="1134" w:bottom="1134" w:left="1418" w:header="1418" w:footer="1134" w:gutter="0"/>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8"/>
    </w:pPr>
    <w:r>
      <w:fldChar w:fldCharType="begin"/>
    </w:r>
    <w:r>
      <w:instrText xml:space="preserve"> PAGE  \* MERGEFORMAT </w:instrText>
    </w:r>
    <w:r>
      <w:fldChar w:fldCharType="separate"/>
    </w:r>
    <w:r>
      <w:t>17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9"/>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2663878">
    <w:nsid w:val="0DDE2B46"/>
    <w:multiLevelType w:val="multilevel"/>
    <w:tmpl w:val="0DDE2B46"/>
    <w:lvl w:ilvl="0" w:tentative="1">
      <w:start w:val="1"/>
      <w:numFmt w:val="lowerLetter"/>
      <w:pStyle w:val="113"/>
      <w:suff w:val="nothing"/>
      <w:lvlText w:val="%1   "/>
      <w:lvlJc w:val="left"/>
      <w:pPr>
        <w:ind w:left="544" w:hanging="181"/>
      </w:pPr>
      <w:rPr>
        <w:rFonts w:hint="eastAsia" w:ascii="宋体" w:eastAsia="宋体"/>
        <w:b w:val="0"/>
        <w:i w:val="0"/>
        <w:sz w:val="18"/>
        <w:vertAlign w:val="superscript"/>
      </w:rPr>
    </w:lvl>
    <w:lvl w:ilvl="1" w:tentative="1">
      <w:start w:val="1"/>
      <w:numFmt w:val="lowerLetter"/>
      <w:lvlText w:val="%2"/>
      <w:lvlJc w:val="left"/>
      <w:pPr>
        <w:tabs>
          <w:tab w:val="left" w:pos="57"/>
        </w:tabs>
        <w:ind w:left="363" w:hanging="363"/>
      </w:pPr>
      <w:rPr>
        <w:rFonts w:hint="eastAsia"/>
      </w:rPr>
    </w:lvl>
    <w:lvl w:ilvl="2" w:tentative="1">
      <w:start w:val="1"/>
      <w:numFmt w:val="lowerRoman"/>
      <w:lvlText w:val="%3."/>
      <w:lvlJc w:val="right"/>
      <w:pPr>
        <w:tabs>
          <w:tab w:val="left" w:pos="57"/>
        </w:tabs>
        <w:ind w:left="363" w:hanging="363"/>
      </w:pPr>
      <w:rPr>
        <w:rFonts w:hint="eastAsia"/>
      </w:rPr>
    </w:lvl>
    <w:lvl w:ilvl="3" w:tentative="1">
      <w:start w:val="1"/>
      <w:numFmt w:val="decimal"/>
      <w:lvlText w:val="%4."/>
      <w:lvlJc w:val="left"/>
      <w:pPr>
        <w:tabs>
          <w:tab w:val="left" w:pos="57"/>
        </w:tabs>
        <w:ind w:left="363" w:hanging="363"/>
      </w:pPr>
      <w:rPr>
        <w:rFonts w:hint="eastAsia"/>
      </w:rPr>
    </w:lvl>
    <w:lvl w:ilvl="4" w:tentative="1">
      <w:start w:val="1"/>
      <w:numFmt w:val="lowerLetter"/>
      <w:lvlText w:val="%5)"/>
      <w:lvlJc w:val="left"/>
      <w:pPr>
        <w:tabs>
          <w:tab w:val="left" w:pos="57"/>
        </w:tabs>
        <w:ind w:left="363" w:hanging="363"/>
      </w:pPr>
      <w:rPr>
        <w:rFonts w:hint="eastAsia"/>
      </w:rPr>
    </w:lvl>
    <w:lvl w:ilvl="5" w:tentative="1">
      <w:start w:val="1"/>
      <w:numFmt w:val="lowerRoman"/>
      <w:lvlText w:val="%6."/>
      <w:lvlJc w:val="right"/>
      <w:pPr>
        <w:tabs>
          <w:tab w:val="left" w:pos="57"/>
        </w:tabs>
        <w:ind w:left="363" w:hanging="363"/>
      </w:pPr>
      <w:rPr>
        <w:rFonts w:hint="eastAsia"/>
      </w:rPr>
    </w:lvl>
    <w:lvl w:ilvl="6" w:tentative="1">
      <w:start w:val="1"/>
      <w:numFmt w:val="decimal"/>
      <w:lvlText w:val="%7."/>
      <w:lvlJc w:val="left"/>
      <w:pPr>
        <w:tabs>
          <w:tab w:val="left" w:pos="57"/>
        </w:tabs>
        <w:ind w:left="363" w:hanging="363"/>
      </w:pPr>
      <w:rPr>
        <w:rFonts w:hint="eastAsia"/>
      </w:rPr>
    </w:lvl>
    <w:lvl w:ilvl="7" w:tentative="1">
      <w:start w:val="1"/>
      <w:numFmt w:val="lowerLetter"/>
      <w:lvlText w:val="%8)"/>
      <w:lvlJc w:val="left"/>
      <w:pPr>
        <w:tabs>
          <w:tab w:val="left" w:pos="57"/>
        </w:tabs>
        <w:ind w:left="363" w:hanging="363"/>
      </w:pPr>
      <w:rPr>
        <w:rFonts w:hint="eastAsia"/>
      </w:rPr>
    </w:lvl>
    <w:lvl w:ilvl="8" w:tentative="1">
      <w:start w:val="1"/>
      <w:numFmt w:val="lowerRoman"/>
      <w:lvlText w:val="%9."/>
      <w:lvlJc w:val="right"/>
      <w:pPr>
        <w:tabs>
          <w:tab w:val="left" w:pos="57"/>
        </w:tabs>
        <w:ind w:left="363" w:hanging="363"/>
      </w:pPr>
      <w:rPr>
        <w:rFonts w:hint="eastAsia"/>
      </w:rPr>
    </w:lvl>
  </w:abstractNum>
  <w:abstractNum w:abstractNumId="100539587">
    <w:nsid w:val="05FE1CC3"/>
    <w:multiLevelType w:val="multilevel"/>
    <w:tmpl w:val="05FE1CC3"/>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50566807">
    <w:nsid w:val="08F97797"/>
    <w:multiLevelType w:val="multilevel"/>
    <w:tmpl w:val="08F97797"/>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54953592">
    <w:nsid w:val="093C6778"/>
    <w:multiLevelType w:val="multilevel"/>
    <w:tmpl w:val="093C6778"/>
    <w:lvl w:ilvl="0" w:tentative="1">
      <w:start w:val="1"/>
      <w:numFmt w:val="decimal"/>
      <w:pStyle w:val="109"/>
      <w:suff w:val="nothing"/>
      <w:lvlText w:val="示例%1："/>
      <w:lvlJc w:val="left"/>
      <w:pPr>
        <w:ind w:left="0" w:firstLine="397"/>
      </w:pPr>
      <w:rPr>
        <w:rFonts w:hint="eastAsia" w:ascii="黑体" w:eastAsia="黑体"/>
        <w:sz w:val="18"/>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182675433">
    <w:nsid w:val="0AE367E9"/>
    <w:multiLevelType w:val="multilevel"/>
    <w:tmpl w:val="0AE367E9"/>
    <w:lvl w:ilvl="0" w:tentative="1">
      <w:start w:val="1"/>
      <w:numFmt w:val="none"/>
      <w:pStyle w:val="47"/>
      <w:suff w:val="nothing"/>
      <w:lvlText w:val="%1示例："/>
      <w:lvlJc w:val="left"/>
      <w:pPr>
        <w:ind w:left="0" w:firstLine="363"/>
      </w:pPr>
      <w:rPr>
        <w:rFonts w:hint="eastAsia" w:ascii="黑体" w:eastAsia="黑体"/>
        <w:b w:val="0"/>
        <w:i w:val="0"/>
        <w:sz w:val="18"/>
        <w:szCs w:val="18"/>
      </w:rPr>
    </w:lvl>
    <w:lvl w:ilvl="1" w:tentative="1">
      <w:start w:val="1"/>
      <w:numFmt w:val="lowerLetter"/>
      <w:lvlText w:val="%2)"/>
      <w:lvlJc w:val="left"/>
      <w:pPr>
        <w:tabs>
          <w:tab w:val="left" w:pos="363"/>
        </w:tabs>
        <w:ind w:left="0" w:firstLine="363"/>
      </w:pPr>
      <w:rPr>
        <w:rFonts w:hint="eastAsia"/>
      </w:rPr>
    </w:lvl>
    <w:lvl w:ilvl="2" w:tentative="1">
      <w:start w:val="1"/>
      <w:numFmt w:val="lowerRoman"/>
      <w:lvlText w:val="%3."/>
      <w:lvlJc w:val="right"/>
      <w:pPr>
        <w:tabs>
          <w:tab w:val="left" w:pos="363"/>
        </w:tabs>
        <w:ind w:left="0" w:firstLine="363"/>
      </w:pPr>
      <w:rPr>
        <w:rFonts w:hint="eastAsia"/>
      </w:rPr>
    </w:lvl>
    <w:lvl w:ilvl="3" w:tentative="1">
      <w:start w:val="1"/>
      <w:numFmt w:val="decimal"/>
      <w:lvlText w:val="%4."/>
      <w:lvlJc w:val="left"/>
      <w:pPr>
        <w:tabs>
          <w:tab w:val="left" w:pos="363"/>
        </w:tabs>
        <w:ind w:left="0" w:firstLine="363"/>
      </w:pPr>
      <w:rPr>
        <w:rFonts w:hint="eastAsia"/>
      </w:rPr>
    </w:lvl>
    <w:lvl w:ilvl="4" w:tentative="1">
      <w:start w:val="1"/>
      <w:numFmt w:val="lowerLetter"/>
      <w:lvlText w:val="%5)"/>
      <w:lvlJc w:val="left"/>
      <w:pPr>
        <w:tabs>
          <w:tab w:val="left" w:pos="363"/>
        </w:tabs>
        <w:ind w:left="0" w:firstLine="363"/>
      </w:pPr>
      <w:rPr>
        <w:rFonts w:hint="eastAsia"/>
      </w:rPr>
    </w:lvl>
    <w:lvl w:ilvl="5" w:tentative="1">
      <w:start w:val="1"/>
      <w:numFmt w:val="lowerRoman"/>
      <w:lvlText w:val="%6."/>
      <w:lvlJc w:val="right"/>
      <w:pPr>
        <w:tabs>
          <w:tab w:val="left" w:pos="363"/>
        </w:tabs>
        <w:ind w:left="0" w:firstLine="363"/>
      </w:pPr>
      <w:rPr>
        <w:rFonts w:hint="eastAsia"/>
      </w:rPr>
    </w:lvl>
    <w:lvl w:ilvl="6" w:tentative="1">
      <w:start w:val="1"/>
      <w:numFmt w:val="decimal"/>
      <w:lvlText w:val="%7."/>
      <w:lvlJc w:val="left"/>
      <w:pPr>
        <w:tabs>
          <w:tab w:val="left" w:pos="363"/>
        </w:tabs>
        <w:ind w:left="0" w:firstLine="363"/>
      </w:pPr>
      <w:rPr>
        <w:rFonts w:hint="eastAsia"/>
      </w:rPr>
    </w:lvl>
    <w:lvl w:ilvl="7" w:tentative="1">
      <w:start w:val="1"/>
      <w:numFmt w:val="lowerLetter"/>
      <w:lvlText w:val="%8)"/>
      <w:lvlJc w:val="left"/>
      <w:pPr>
        <w:tabs>
          <w:tab w:val="left" w:pos="363"/>
        </w:tabs>
        <w:ind w:left="0" w:firstLine="363"/>
      </w:pPr>
      <w:rPr>
        <w:rFonts w:hint="eastAsia"/>
      </w:rPr>
    </w:lvl>
    <w:lvl w:ilvl="8" w:tentative="1">
      <w:start w:val="1"/>
      <w:numFmt w:val="lowerRoman"/>
      <w:lvlText w:val="%9."/>
      <w:lvlJc w:val="right"/>
      <w:pPr>
        <w:tabs>
          <w:tab w:val="left" w:pos="363"/>
        </w:tabs>
        <w:ind w:left="0" w:firstLine="363"/>
      </w:pPr>
      <w:rPr>
        <w:rFonts w:hint="eastAsia"/>
      </w:rPr>
    </w:lvl>
  </w:abstractNum>
  <w:abstractNum w:abstractNumId="126943917">
    <w:nsid w:val="079102AD"/>
    <w:multiLevelType w:val="multilevel"/>
    <w:tmpl w:val="079102AD"/>
    <w:lvl w:ilvl="0" w:tentative="1">
      <w:start w:val="1"/>
      <w:numFmt w:val="decimal"/>
      <w:pStyle w:val="53"/>
      <w:suff w:val="nothing"/>
      <w:lvlText w:val="注%1："/>
      <w:lvlJc w:val="left"/>
      <w:pPr>
        <w:ind w:left="811" w:hanging="448"/>
      </w:pPr>
      <w:rPr>
        <w:rFonts w:hint="eastAsia" w:ascii="黑体" w:eastAsia="黑体"/>
        <w:b w:val="0"/>
        <w:i w:val="0"/>
        <w:sz w:val="18"/>
        <w:lang w:val="en-US"/>
      </w:rPr>
    </w:lvl>
    <w:lvl w:ilvl="1" w:tentative="1">
      <w:start w:val="1"/>
      <w:numFmt w:val="lowerLetter"/>
      <w:lvlText w:val="%2)"/>
      <w:lvlJc w:val="left"/>
      <w:pPr>
        <w:tabs>
          <w:tab w:val="left" w:pos="0"/>
        </w:tabs>
        <w:ind w:left="992" w:hanging="629"/>
      </w:pPr>
      <w:rPr>
        <w:rFonts w:hint="eastAsia"/>
      </w:rPr>
    </w:lvl>
    <w:lvl w:ilvl="2" w:tentative="1">
      <w:start w:val="1"/>
      <w:numFmt w:val="lowerRoman"/>
      <w:lvlText w:val="%3."/>
      <w:lvlJc w:val="right"/>
      <w:pPr>
        <w:tabs>
          <w:tab w:val="left" w:pos="0"/>
        </w:tabs>
        <w:ind w:left="992" w:hanging="629"/>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148597761">
    <w:nsid w:val="08DB6C01"/>
    <w:multiLevelType w:val="multilevel"/>
    <w:tmpl w:val="08DB6C01"/>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338385220">
    <w:nsid w:val="142B5944"/>
    <w:multiLevelType w:val="multilevel"/>
    <w:tmpl w:val="142B5944"/>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365058037">
    <w:nsid w:val="15C257F5"/>
    <w:multiLevelType w:val="multilevel"/>
    <w:tmpl w:val="15C257F5"/>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398136973">
    <w:nsid w:val="17BB168D"/>
    <w:multiLevelType w:val="multilevel"/>
    <w:tmpl w:val="17BB168D"/>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408775382">
    <w:nsid w:val="185D6AD6"/>
    <w:multiLevelType w:val="multilevel"/>
    <w:tmpl w:val="185D6AD6"/>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499079226">
    <w:nsid w:val="1DBF583A"/>
    <w:multiLevelType w:val="multilevel"/>
    <w:tmpl w:val="1DBF583A"/>
    <w:lvl w:ilvl="0" w:tentative="1">
      <w:start w:val="1"/>
      <w:numFmt w:val="decimal"/>
      <w:pStyle w:val="60"/>
      <w:suff w:val="nothing"/>
      <w:lvlText w:val="注%1："/>
      <w:lvlJc w:val="left"/>
      <w:pPr>
        <w:ind w:left="811" w:hanging="448"/>
      </w:pPr>
      <w:rPr>
        <w:rFonts w:hint="eastAsia" w:ascii="黑体" w:eastAsia="黑体"/>
        <w:b w:val="0"/>
        <w:i w:val="0"/>
        <w:sz w:val="18"/>
        <w:szCs w:val="18"/>
      </w:rPr>
    </w:lvl>
    <w:lvl w:ilvl="1" w:tentative="1">
      <w:start w:val="1"/>
      <w:numFmt w:val="lowerLetter"/>
      <w:lvlText w:val="%2)"/>
      <w:lvlJc w:val="left"/>
      <w:pPr>
        <w:tabs>
          <w:tab w:val="left" w:pos="180"/>
        </w:tabs>
        <w:ind w:left="1172" w:hanging="629"/>
      </w:pPr>
      <w:rPr>
        <w:rFonts w:hint="eastAsia"/>
      </w:rPr>
    </w:lvl>
    <w:lvl w:ilvl="2" w:tentative="1">
      <w:start w:val="1"/>
      <w:numFmt w:val="lowerRoman"/>
      <w:lvlText w:val="%3."/>
      <w:lvlJc w:val="right"/>
      <w:pPr>
        <w:tabs>
          <w:tab w:val="left" w:pos="180"/>
        </w:tabs>
        <w:ind w:left="1172" w:hanging="629"/>
      </w:pPr>
      <w:rPr>
        <w:rFonts w:hint="eastAsia"/>
      </w:rPr>
    </w:lvl>
    <w:lvl w:ilvl="3" w:tentative="1">
      <w:start w:val="1"/>
      <w:numFmt w:val="decimal"/>
      <w:lvlText w:val="%4."/>
      <w:lvlJc w:val="left"/>
      <w:pPr>
        <w:tabs>
          <w:tab w:val="left" w:pos="180"/>
        </w:tabs>
        <w:ind w:left="1172" w:hanging="629"/>
      </w:pPr>
      <w:rPr>
        <w:rFonts w:hint="eastAsia"/>
      </w:rPr>
    </w:lvl>
    <w:lvl w:ilvl="4" w:tentative="1">
      <w:start w:val="1"/>
      <w:numFmt w:val="lowerLetter"/>
      <w:lvlText w:val="%5)"/>
      <w:lvlJc w:val="left"/>
      <w:pPr>
        <w:tabs>
          <w:tab w:val="left" w:pos="180"/>
        </w:tabs>
        <w:ind w:left="1172" w:hanging="629"/>
      </w:pPr>
      <w:rPr>
        <w:rFonts w:hint="eastAsia"/>
      </w:rPr>
    </w:lvl>
    <w:lvl w:ilvl="5" w:tentative="1">
      <w:start w:val="1"/>
      <w:numFmt w:val="lowerRoman"/>
      <w:lvlText w:val="%6."/>
      <w:lvlJc w:val="right"/>
      <w:pPr>
        <w:tabs>
          <w:tab w:val="left" w:pos="180"/>
        </w:tabs>
        <w:ind w:left="1172" w:hanging="629"/>
      </w:pPr>
      <w:rPr>
        <w:rFonts w:hint="eastAsia"/>
      </w:rPr>
    </w:lvl>
    <w:lvl w:ilvl="6" w:tentative="1">
      <w:start w:val="1"/>
      <w:numFmt w:val="decimal"/>
      <w:lvlText w:val="%7."/>
      <w:lvlJc w:val="left"/>
      <w:pPr>
        <w:tabs>
          <w:tab w:val="left" w:pos="180"/>
        </w:tabs>
        <w:ind w:left="1172" w:hanging="629"/>
      </w:pPr>
      <w:rPr>
        <w:rFonts w:hint="eastAsia"/>
      </w:rPr>
    </w:lvl>
    <w:lvl w:ilvl="7" w:tentative="1">
      <w:start w:val="1"/>
      <w:numFmt w:val="lowerLetter"/>
      <w:lvlText w:val="%8)"/>
      <w:lvlJc w:val="left"/>
      <w:pPr>
        <w:tabs>
          <w:tab w:val="left" w:pos="180"/>
        </w:tabs>
        <w:ind w:left="1172" w:hanging="629"/>
      </w:pPr>
      <w:rPr>
        <w:rFonts w:hint="eastAsia"/>
      </w:rPr>
    </w:lvl>
    <w:lvl w:ilvl="8" w:tentative="1">
      <w:start w:val="1"/>
      <w:numFmt w:val="lowerRoman"/>
      <w:lvlText w:val="%9."/>
      <w:lvlJc w:val="right"/>
      <w:pPr>
        <w:tabs>
          <w:tab w:val="left" w:pos="180"/>
        </w:tabs>
        <w:ind w:left="1172" w:hanging="629"/>
      </w:pPr>
      <w:rPr>
        <w:rFonts w:hint="eastAsia"/>
      </w:rPr>
    </w:lvl>
  </w:abstractNum>
  <w:abstractNum w:abstractNumId="533270883">
    <w:nsid w:val="1FC91163"/>
    <w:multiLevelType w:val="multilevel"/>
    <w:tmpl w:val="1FC91163"/>
    <w:lvl w:ilvl="0" w:tentative="1">
      <w:start w:val="1"/>
      <w:numFmt w:val="decimal"/>
      <w:pStyle w:val="40"/>
      <w:suff w:val="nothing"/>
      <w:lvlText w:val="%1　"/>
      <w:lvlJc w:val="left"/>
      <w:pPr>
        <w:ind w:left="0" w:firstLine="0"/>
      </w:pPr>
      <w:rPr>
        <w:rFonts w:hint="eastAsia" w:ascii="黑体" w:hAnsi="Times New Roman" w:eastAsia="黑体"/>
        <w:b w:val="0"/>
        <w:i w:val="0"/>
        <w:sz w:val="21"/>
        <w:szCs w:val="21"/>
      </w:rPr>
    </w:lvl>
    <w:lvl w:ilvl="1" w:tentative="1">
      <w:start w:val="1"/>
      <w:numFmt w:val="decimal"/>
      <w:pStyle w:val="37"/>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1">
      <w:start w:val="1"/>
      <w:numFmt w:val="decimal"/>
      <w:pStyle w:val="41"/>
      <w:suff w:val="nothing"/>
      <w:lvlText w:val="%1.%2.%3　"/>
      <w:lvlJc w:val="left"/>
      <w:pPr>
        <w:ind w:left="0" w:firstLine="0"/>
      </w:pPr>
      <w:rPr>
        <w:rFonts w:hint="eastAsia" w:ascii="黑体" w:hAnsi="Times New Roman" w:eastAsia="黑体"/>
        <w:b w:val="0"/>
        <w:i w:val="0"/>
        <w:sz w:val="21"/>
      </w:rPr>
    </w:lvl>
    <w:lvl w:ilvl="3" w:tentative="1">
      <w:start w:val="1"/>
      <w:numFmt w:val="decimal"/>
      <w:pStyle w:val="46"/>
      <w:suff w:val="nothing"/>
      <w:lvlText w:val="%1.%2.%3.%4　"/>
      <w:lvlJc w:val="left"/>
      <w:pPr>
        <w:ind w:left="0" w:firstLine="0"/>
      </w:pPr>
      <w:rPr>
        <w:rFonts w:hint="eastAsia" w:ascii="黑体" w:hAnsi="Times New Roman" w:eastAsia="黑体"/>
        <w:b w:val="0"/>
        <w:i w:val="0"/>
        <w:sz w:val="21"/>
      </w:rPr>
    </w:lvl>
    <w:lvl w:ilvl="4" w:tentative="1">
      <w:start w:val="1"/>
      <w:numFmt w:val="decimal"/>
      <w:pStyle w:val="50"/>
      <w:suff w:val="nothing"/>
      <w:lvlText w:val="%1.%2.%3.%4.%5　"/>
      <w:lvlJc w:val="left"/>
      <w:pPr>
        <w:ind w:left="0" w:firstLine="0"/>
      </w:pPr>
      <w:rPr>
        <w:rFonts w:hint="eastAsia" w:ascii="黑体" w:hAnsi="Times New Roman" w:eastAsia="黑体"/>
        <w:b w:val="0"/>
        <w:i w:val="0"/>
        <w:sz w:val="21"/>
      </w:rPr>
    </w:lvl>
    <w:lvl w:ilvl="5" w:tentative="1">
      <w:start w:val="1"/>
      <w:numFmt w:val="decimal"/>
      <w:pStyle w:val="51"/>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545603651">
    <w:nsid w:val="20854043"/>
    <w:multiLevelType w:val="multilevel"/>
    <w:tmpl w:val="20854043"/>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548491367">
    <w:nsid w:val="20B15067"/>
    <w:multiLevelType w:val="multilevel"/>
    <w:tmpl w:val="20B15067"/>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637150639">
    <w:nsid w:val="25FA25AF"/>
    <w:multiLevelType w:val="multilevel"/>
    <w:tmpl w:val="25FA25AF"/>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714043667">
    <w:nsid w:val="2A8F7113"/>
    <w:multiLevelType w:val="multilevel"/>
    <w:tmpl w:val="2A8F7113"/>
    <w:lvl w:ilvl="0" w:tentative="1">
      <w:start w:val="1"/>
      <w:numFmt w:val="upperLetter"/>
      <w:pStyle w:val="91"/>
      <w:suff w:val="space"/>
      <w:lvlText w:val="%1"/>
      <w:lvlJc w:val="left"/>
      <w:pPr>
        <w:ind w:left="623" w:hanging="425"/>
      </w:pPr>
      <w:rPr>
        <w:rFonts w:hint="eastAsia"/>
      </w:rPr>
    </w:lvl>
    <w:lvl w:ilvl="1" w:tentative="1">
      <w:start w:val="1"/>
      <w:numFmt w:val="decimal"/>
      <w:pStyle w:val="92"/>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744036291">
    <w:nsid w:val="2C5917C3"/>
    <w:multiLevelType w:val="multilevel"/>
    <w:tmpl w:val="2C5917C3"/>
    <w:lvl w:ilvl="0" w:tentative="1">
      <w:start w:val="1"/>
      <w:numFmt w:val="none"/>
      <w:pStyle w:val="43"/>
      <w:suff w:val="nothing"/>
      <w:lvlText w:val="%1——"/>
      <w:lvlJc w:val="left"/>
      <w:pPr>
        <w:ind w:left="833" w:hanging="408"/>
      </w:pPr>
      <w:rPr>
        <w:rFonts w:hint="eastAsia"/>
      </w:rPr>
    </w:lvl>
    <w:lvl w:ilvl="1" w:tentative="1">
      <w:start w:val="1"/>
      <w:numFmt w:val="bullet"/>
      <w:pStyle w:val="44"/>
      <w:lvlText w:val=""/>
      <w:lvlJc w:val="left"/>
      <w:pPr>
        <w:tabs>
          <w:tab w:val="left" w:pos="760"/>
        </w:tabs>
        <w:ind w:left="1264" w:hanging="413"/>
      </w:pPr>
      <w:rPr>
        <w:rFonts w:hint="default" w:ascii="Symbol" w:hAnsi="Symbol"/>
        <w:color w:val="auto"/>
      </w:rPr>
    </w:lvl>
    <w:lvl w:ilvl="2" w:tentative="1">
      <w:start w:val="1"/>
      <w:numFmt w:val="bullet"/>
      <w:pStyle w:val="55"/>
      <w:lvlText w:val=""/>
      <w:lvlJc w:val="left"/>
      <w:pPr>
        <w:tabs>
          <w:tab w:val="left" w:pos="1678"/>
        </w:tabs>
        <w:ind w:left="1678" w:hanging="414"/>
      </w:pPr>
      <w:rPr>
        <w:rFonts w:hint="default" w:ascii="Symbol" w:hAnsi="Symbol"/>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793183780">
    <w:nsid w:val="2F470624"/>
    <w:multiLevelType w:val="multilevel"/>
    <w:tmpl w:val="2F470624"/>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835878640">
    <w:nsid w:val="31D27EF0"/>
    <w:multiLevelType w:val="multilevel"/>
    <w:tmpl w:val="31D27EF0"/>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847914145">
    <w:nsid w:val="328A24A1"/>
    <w:multiLevelType w:val="multilevel"/>
    <w:tmpl w:val="328A24A1"/>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860703631">
    <w:nsid w:val="334D4B8F"/>
    <w:multiLevelType w:val="multilevel"/>
    <w:tmpl w:val="334D4B8F"/>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009719842">
    <w:nsid w:val="3C2F1A22"/>
    <w:multiLevelType w:val="multilevel"/>
    <w:tmpl w:val="3C2F1A22"/>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030960664">
    <w:nsid w:val="3D733618"/>
    <w:multiLevelType w:val="multilevel"/>
    <w:tmpl w:val="3D733618"/>
    <w:lvl w:ilvl="0" w:tentative="1">
      <w:start w:val="1"/>
      <w:numFmt w:val="decimal"/>
      <w:pStyle w:val="22"/>
      <w:lvlText w:val="%1)"/>
      <w:lvlJc w:val="left"/>
      <w:pPr>
        <w:tabs>
          <w:tab w:val="left" w:pos="0"/>
        </w:tabs>
        <w:ind w:left="720" w:hanging="357"/>
      </w:pPr>
      <w:rPr>
        <w:rFonts w:hint="eastAsia"/>
      </w:rPr>
    </w:lvl>
    <w:lvl w:ilvl="1" w:tentative="1">
      <w:start w:val="1"/>
      <w:numFmt w:val="lowerLetter"/>
      <w:lvlText w:val="%2)"/>
      <w:lvlJc w:val="left"/>
      <w:pPr>
        <w:tabs>
          <w:tab w:val="left" w:pos="504"/>
        </w:tabs>
        <w:ind w:left="544" w:hanging="544"/>
      </w:pPr>
      <w:rPr>
        <w:rFonts w:hint="eastAsia"/>
      </w:rPr>
    </w:lvl>
    <w:lvl w:ilvl="2" w:tentative="1">
      <w:start w:val="1"/>
      <w:numFmt w:val="lowerRoman"/>
      <w:lvlText w:val="%3."/>
      <w:lvlJc w:val="right"/>
      <w:pPr>
        <w:tabs>
          <w:tab w:val="left" w:pos="532"/>
        </w:tabs>
        <w:ind w:left="544" w:hanging="544"/>
      </w:pPr>
      <w:rPr>
        <w:rFonts w:hint="eastAsia"/>
      </w:rPr>
    </w:lvl>
    <w:lvl w:ilvl="3" w:tentative="1">
      <w:start w:val="1"/>
      <w:numFmt w:val="decimal"/>
      <w:lvlText w:val="%4."/>
      <w:lvlJc w:val="left"/>
      <w:pPr>
        <w:tabs>
          <w:tab w:val="left" w:pos="560"/>
        </w:tabs>
        <w:ind w:left="544" w:hanging="544"/>
      </w:pPr>
      <w:rPr>
        <w:rFonts w:hint="eastAsia"/>
      </w:rPr>
    </w:lvl>
    <w:lvl w:ilvl="4" w:tentative="1">
      <w:start w:val="1"/>
      <w:numFmt w:val="lowerLetter"/>
      <w:lvlText w:val="%5)"/>
      <w:lvlJc w:val="left"/>
      <w:pPr>
        <w:tabs>
          <w:tab w:val="left" w:pos="588"/>
        </w:tabs>
        <w:ind w:left="544" w:hanging="544"/>
      </w:pPr>
      <w:rPr>
        <w:rFonts w:hint="eastAsia"/>
      </w:rPr>
    </w:lvl>
    <w:lvl w:ilvl="5" w:tentative="1">
      <w:start w:val="1"/>
      <w:numFmt w:val="lowerRoman"/>
      <w:lvlText w:val="%6."/>
      <w:lvlJc w:val="right"/>
      <w:pPr>
        <w:tabs>
          <w:tab w:val="left" w:pos="616"/>
        </w:tabs>
        <w:ind w:left="544" w:hanging="544"/>
      </w:pPr>
      <w:rPr>
        <w:rFonts w:hint="eastAsia"/>
      </w:rPr>
    </w:lvl>
    <w:lvl w:ilvl="6" w:tentative="1">
      <w:start w:val="1"/>
      <w:numFmt w:val="decimal"/>
      <w:lvlText w:val="%7."/>
      <w:lvlJc w:val="left"/>
      <w:pPr>
        <w:tabs>
          <w:tab w:val="left" w:pos="644"/>
        </w:tabs>
        <w:ind w:left="544" w:hanging="544"/>
      </w:pPr>
      <w:rPr>
        <w:rFonts w:hint="eastAsia"/>
      </w:rPr>
    </w:lvl>
    <w:lvl w:ilvl="7" w:tentative="1">
      <w:start w:val="1"/>
      <w:numFmt w:val="lowerLetter"/>
      <w:lvlText w:val="%8)"/>
      <w:lvlJc w:val="left"/>
      <w:pPr>
        <w:tabs>
          <w:tab w:val="left" w:pos="672"/>
        </w:tabs>
        <w:ind w:left="544" w:hanging="544"/>
      </w:pPr>
      <w:rPr>
        <w:rFonts w:hint="eastAsia"/>
      </w:rPr>
    </w:lvl>
    <w:lvl w:ilvl="8" w:tentative="1">
      <w:start w:val="1"/>
      <w:numFmt w:val="lowerRoman"/>
      <w:lvlText w:val="%9."/>
      <w:lvlJc w:val="right"/>
      <w:pPr>
        <w:tabs>
          <w:tab w:val="left" w:pos="700"/>
        </w:tabs>
        <w:ind w:left="544" w:hanging="544"/>
      </w:pPr>
      <w:rPr>
        <w:rFonts w:hint="eastAsia"/>
      </w:rPr>
    </w:lvl>
  </w:abstractNum>
  <w:abstractNum w:abstractNumId="1051804775">
    <w:nsid w:val="3EB14467"/>
    <w:multiLevelType w:val="multilevel"/>
    <w:tmpl w:val="3EB14467"/>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055737971">
    <w:nsid w:val="3EED4873"/>
    <w:multiLevelType w:val="multilevel"/>
    <w:tmpl w:val="3EED4873"/>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153765264">
    <w:nsid w:val="44C50F90"/>
    <w:multiLevelType w:val="multilevel"/>
    <w:tmpl w:val="44C50F90"/>
    <w:lvl w:ilvl="0" w:tentative="1">
      <w:start w:val="1"/>
      <w:numFmt w:val="lowerLetter"/>
      <w:pStyle w:val="54"/>
      <w:lvlText w:val="%1)"/>
      <w:lvlJc w:val="left"/>
      <w:pPr>
        <w:tabs>
          <w:tab w:val="left" w:pos="840"/>
        </w:tabs>
        <w:ind w:left="839" w:hanging="419"/>
      </w:pPr>
      <w:rPr>
        <w:rFonts w:hint="eastAsia" w:ascii="宋体" w:eastAsia="宋体"/>
        <w:b w:val="0"/>
        <w:i w:val="0"/>
        <w:sz w:val="21"/>
        <w:szCs w:val="21"/>
      </w:rPr>
    </w:lvl>
    <w:lvl w:ilvl="1" w:tentative="1">
      <w:start w:val="1"/>
      <w:numFmt w:val="decimal"/>
      <w:pStyle w:val="49"/>
      <w:lvlText w:val="%2)"/>
      <w:lvlJc w:val="left"/>
      <w:pPr>
        <w:tabs>
          <w:tab w:val="left" w:pos="1260"/>
        </w:tabs>
        <w:ind w:left="1259" w:hanging="419"/>
      </w:pPr>
      <w:rPr>
        <w:rFonts w:hint="eastAsia"/>
      </w:rPr>
    </w:lvl>
    <w:lvl w:ilvl="2" w:tentative="1">
      <w:start w:val="1"/>
      <w:numFmt w:val="decimal"/>
      <w:pStyle w:val="56"/>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171946788">
    <w:nsid w:val="45DA7D24"/>
    <w:multiLevelType w:val="multilevel"/>
    <w:tmpl w:val="45DA7D24"/>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252660279">
    <w:nsid w:val="4AAA1437"/>
    <w:multiLevelType w:val="multilevel"/>
    <w:tmpl w:val="4AAA1437"/>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265842783">
    <w:nsid w:val="4B733A5F"/>
    <w:multiLevelType w:val="multilevel"/>
    <w:tmpl w:val="4B733A5F"/>
    <w:lvl w:ilvl="0" w:tentative="1">
      <w:start w:val="1"/>
      <w:numFmt w:val="decimal"/>
      <w:pStyle w:val="57"/>
      <w:suff w:val="nothing"/>
      <w:lvlText w:val="示例%1："/>
      <w:lvlJc w:val="left"/>
      <w:pPr>
        <w:ind w:left="0" w:firstLine="363"/>
      </w:pPr>
      <w:rPr>
        <w:rFonts w:hint="eastAsia" w:ascii="黑体" w:hAnsi="Times New Roman" w:eastAsia="黑体"/>
        <w:b w:val="0"/>
        <w:i w:val="0"/>
        <w:sz w:val="18"/>
        <w:szCs w:val="18"/>
      </w:rPr>
    </w:lvl>
    <w:lvl w:ilvl="1" w:tentative="1">
      <w:start w:val="1"/>
      <w:numFmt w:val="none"/>
      <w:suff w:val="space"/>
      <w:lvlText w:val=""/>
      <w:lvlJc w:val="left"/>
      <w:pPr>
        <w:ind w:left="0" w:firstLine="0"/>
      </w:pPr>
      <w:rPr>
        <w:rFonts w:hint="eastAsia"/>
      </w:rPr>
    </w:lvl>
    <w:lvl w:ilvl="2" w:tentative="1">
      <w:start w:val="1"/>
      <w:numFmt w:val="decimal"/>
      <w:suff w:val="space"/>
      <w:lvlText w:val="2.2.%3"/>
      <w:lvlJc w:val="left"/>
      <w:pPr>
        <w:ind w:left="0" w:firstLine="0"/>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1290235959">
    <w:nsid w:val="4CE77037"/>
    <w:multiLevelType w:val="multilevel"/>
    <w:tmpl w:val="4CE77037"/>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391733539">
    <w:nsid w:val="52F42B23"/>
    <w:multiLevelType w:val="multilevel"/>
    <w:tmpl w:val="52F42B23"/>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409614020">
    <w:nsid w:val="540500C4"/>
    <w:multiLevelType w:val="multilevel"/>
    <w:tmpl w:val="540500C4"/>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414550971">
    <w:nsid w:val="545055BB"/>
    <w:multiLevelType w:val="multilevel"/>
    <w:tmpl w:val="545055BB"/>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434200821">
    <w:nsid w:val="557C2AF5"/>
    <w:multiLevelType w:val="multilevel"/>
    <w:tmpl w:val="557C2AF5"/>
    <w:lvl w:ilvl="0" w:tentative="1">
      <w:start w:val="1"/>
      <w:numFmt w:val="decimal"/>
      <w:pStyle w:val="120"/>
      <w:suff w:val="nothing"/>
      <w:lvlText w:val="图%1　"/>
      <w:lvlJc w:val="left"/>
      <w:pPr>
        <w:ind w:left="0" w:firstLine="0"/>
      </w:pPr>
      <w:rPr>
        <w:rFonts w:hint="eastAsia" w:ascii="黑体" w:hAnsi="Times New Roman" w:eastAsia="黑体"/>
        <w:b w:val="0"/>
        <w:i w:val="0"/>
        <w:sz w:val="21"/>
      </w:rPr>
    </w:lvl>
    <w:lvl w:ilvl="1" w:tentative="1">
      <w:start w:val="1"/>
      <w:numFmt w:val="decimal"/>
      <w:suff w:val="nothing"/>
      <w:lvlText w:val="%1%2　"/>
      <w:lvlJc w:val="left"/>
      <w:pPr>
        <w:ind w:left="0" w:firstLine="0"/>
      </w:pPr>
      <w:rPr>
        <w:rFonts w:hint="default" w:ascii="Times New Roman" w:hAnsi="Times New Roman" w:eastAsia="黑体"/>
        <w:b w:val="0"/>
        <w:i w:val="0"/>
        <w:sz w:val="21"/>
      </w:rPr>
    </w:lvl>
    <w:lvl w:ilvl="2" w:tentative="1">
      <w:start w:val="1"/>
      <w:numFmt w:val="decimal"/>
      <w:suff w:val="nothing"/>
      <w:lvlText w:val="%1%2.%3　"/>
      <w:lvlJc w:val="left"/>
      <w:pPr>
        <w:ind w:left="0" w:firstLine="0"/>
      </w:pPr>
      <w:rPr>
        <w:rFonts w:hint="default" w:ascii="Times New Roman" w:hAnsi="Times New Roman" w:eastAsia="黑体"/>
        <w:b w:val="0"/>
        <w:i w:val="0"/>
        <w:sz w:val="21"/>
      </w:rPr>
    </w:lvl>
    <w:lvl w:ilvl="3" w:tentative="1">
      <w:start w:val="1"/>
      <w:numFmt w:val="decimal"/>
      <w:suff w:val="nothing"/>
      <w:lvlText w:val="%1%2.%3.%4　"/>
      <w:lvlJc w:val="left"/>
      <w:pPr>
        <w:ind w:left="0" w:firstLine="0"/>
      </w:pPr>
      <w:rPr>
        <w:rFonts w:hint="default" w:ascii="Times New Roman" w:hAnsi="Times New Roman" w:eastAsia="黑体"/>
        <w:b w:val="0"/>
        <w:i w:val="0"/>
        <w:sz w:val="21"/>
      </w:rPr>
    </w:lvl>
    <w:lvl w:ilvl="4" w:tentative="1">
      <w:start w:val="1"/>
      <w:numFmt w:val="decimal"/>
      <w:suff w:val="nothing"/>
      <w:lvlText w:val="%1%2.%3.%4.%5　"/>
      <w:lvlJc w:val="left"/>
      <w:pPr>
        <w:ind w:left="0" w:firstLine="0"/>
      </w:pPr>
      <w:rPr>
        <w:rFonts w:hint="default" w:ascii="Times New Roman" w:hAnsi="Times New Roman" w:eastAsia="黑体"/>
        <w:b w:val="0"/>
        <w:i w:val="0"/>
        <w:sz w:val="21"/>
      </w:rPr>
    </w:lvl>
    <w:lvl w:ilvl="5" w:tentative="1">
      <w:start w:val="1"/>
      <w:numFmt w:val="decimal"/>
      <w:suff w:val="nothing"/>
      <w:lvlText w:val="%1%2.%3.%4.%5.%6　"/>
      <w:lvlJc w:val="left"/>
      <w:pPr>
        <w:ind w:left="0" w:firstLine="0"/>
      </w:pPr>
      <w:rPr>
        <w:rFonts w:hint="default" w:ascii="Times New Roman" w:hAnsi="Times New Roman" w:eastAsia="黑体"/>
        <w:b w:val="0"/>
        <w:i w:val="0"/>
        <w:sz w:val="21"/>
      </w:rPr>
    </w:lvl>
    <w:lvl w:ilvl="6" w:tentative="1">
      <w:start w:val="1"/>
      <w:numFmt w:val="decimal"/>
      <w:suff w:val="nothing"/>
      <w:lvlText w:val="%1%2.%3.%4.%5.%6.%7　"/>
      <w:lvlJc w:val="left"/>
      <w:pPr>
        <w:ind w:left="0" w:firstLine="0"/>
      </w:pPr>
      <w:rPr>
        <w:rFonts w:hint="default" w:ascii="Times New Roman"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440638738">
    <w:nsid w:val="55DE6712"/>
    <w:multiLevelType w:val="multilevel"/>
    <w:tmpl w:val="55DE6712"/>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492330821">
    <w:nsid w:val="58F32945"/>
    <w:multiLevelType w:val="multilevel"/>
    <w:tmpl w:val="58F32945"/>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509536988">
    <w:nsid w:val="59F9B4DC"/>
    <w:multiLevelType w:val="singleLevel"/>
    <w:tmpl w:val="59F9B4DC"/>
    <w:lvl w:ilvl="0" w:tentative="1">
      <w:start w:val="1"/>
      <w:numFmt w:val="decimal"/>
      <w:suff w:val="space"/>
      <w:lvlText w:val="[%1]"/>
      <w:lvlJc w:val="left"/>
    </w:lvl>
  </w:abstractNum>
  <w:abstractNum w:abstractNumId="1599365314">
    <w:nsid w:val="5F5460C2"/>
    <w:multiLevelType w:val="multilevel"/>
    <w:tmpl w:val="5F5460C2"/>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622498754">
    <w:nsid w:val="60B55DC2"/>
    <w:multiLevelType w:val="multilevel"/>
    <w:tmpl w:val="60B55DC2"/>
    <w:lvl w:ilvl="0" w:tentative="1">
      <w:start w:val="1"/>
      <w:numFmt w:val="upperLetter"/>
      <w:pStyle w:val="80"/>
      <w:lvlText w:val="%1"/>
      <w:lvlJc w:val="left"/>
      <w:pPr>
        <w:tabs>
          <w:tab w:val="left" w:pos="0"/>
        </w:tabs>
        <w:ind w:left="0" w:hanging="425"/>
      </w:pPr>
      <w:rPr>
        <w:rFonts w:hint="eastAsia"/>
      </w:rPr>
    </w:lvl>
    <w:lvl w:ilvl="1" w:tentative="1">
      <w:start w:val="1"/>
      <w:numFmt w:val="decimal"/>
      <w:pStyle w:val="81"/>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1684168954">
    <w:nsid w:val="646260FA"/>
    <w:multiLevelType w:val="multilevel"/>
    <w:tmpl w:val="646260FA"/>
    <w:lvl w:ilvl="0" w:tentative="1">
      <w:start w:val="1"/>
      <w:numFmt w:val="decimal"/>
      <w:pStyle w:val="118"/>
      <w:suff w:val="nothing"/>
      <w:lvlText w:val="表%1　"/>
      <w:lvlJc w:val="left"/>
      <w:pPr>
        <w:ind w:left="0" w:firstLine="0"/>
      </w:pPr>
      <w:rPr>
        <w:rFonts w:hint="eastAsia" w:ascii="黑体" w:hAnsi="Times New Roman" w:eastAsia="黑体"/>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702707132">
    <w:nsid w:val="657D3FBC"/>
    <w:multiLevelType w:val="multilevel"/>
    <w:tmpl w:val="657D3FBC"/>
    <w:lvl w:ilvl="0" w:tentative="1">
      <w:start w:val="1"/>
      <w:numFmt w:val="upperLetter"/>
      <w:pStyle w:val="78"/>
      <w:suff w:val="nothing"/>
      <w:lvlText w:val="附　录　%1"/>
      <w:lvlJc w:val="left"/>
      <w:pPr>
        <w:ind w:left="0" w:firstLine="0"/>
      </w:pPr>
      <w:rPr>
        <w:rFonts w:hint="eastAsia" w:ascii="黑体" w:hAnsi="Times New Roman" w:eastAsia="黑体"/>
        <w:b w:val="0"/>
        <w:i w:val="0"/>
        <w:spacing w:val="0"/>
        <w:w w:val="100"/>
        <w:sz w:val="21"/>
      </w:rPr>
    </w:lvl>
    <w:lvl w:ilvl="1" w:tentative="1">
      <w:start w:val="1"/>
      <w:numFmt w:val="decimal"/>
      <w:pStyle w:val="95"/>
      <w:suff w:val="nothing"/>
      <w:lvlText w:val="%1.%2　"/>
      <w:lvlJc w:val="left"/>
      <w:pPr>
        <w:ind w:left="0" w:firstLine="0"/>
      </w:pPr>
      <w:rPr>
        <w:rFonts w:hint="eastAsia" w:ascii="黑体" w:hAnsi="Times New Roman" w:eastAsia="黑体"/>
        <w:b w:val="0"/>
        <w:i w:val="0"/>
        <w:spacing w:val="0"/>
        <w:w w:val="100"/>
        <w:kern w:val="21"/>
        <w:sz w:val="21"/>
      </w:rPr>
    </w:lvl>
    <w:lvl w:ilvl="2" w:tentative="1">
      <w:start w:val="1"/>
      <w:numFmt w:val="decimal"/>
      <w:pStyle w:val="96"/>
      <w:suff w:val="nothing"/>
      <w:lvlText w:val="%1.%2.%3　"/>
      <w:lvlJc w:val="left"/>
      <w:pPr>
        <w:ind w:left="0" w:firstLine="0"/>
      </w:pPr>
      <w:rPr>
        <w:rFonts w:hint="eastAsia" w:ascii="黑体" w:hAnsi="Times New Roman" w:eastAsia="黑体"/>
        <w:b w:val="0"/>
        <w:i w:val="0"/>
        <w:sz w:val="21"/>
      </w:rPr>
    </w:lvl>
    <w:lvl w:ilvl="3" w:tentative="1">
      <w:start w:val="1"/>
      <w:numFmt w:val="decimal"/>
      <w:pStyle w:val="82"/>
      <w:suff w:val="nothing"/>
      <w:lvlText w:val="%1.%2.%3.%4　"/>
      <w:lvlJc w:val="left"/>
      <w:pPr>
        <w:ind w:left="0" w:firstLine="0"/>
      </w:pPr>
      <w:rPr>
        <w:rFonts w:hint="eastAsia" w:ascii="黑体" w:hAnsi="Times New Roman" w:eastAsia="黑体"/>
        <w:b w:val="0"/>
        <w:i w:val="0"/>
        <w:sz w:val="21"/>
      </w:rPr>
    </w:lvl>
    <w:lvl w:ilvl="4" w:tentative="1">
      <w:start w:val="1"/>
      <w:numFmt w:val="decimal"/>
      <w:pStyle w:val="86"/>
      <w:suff w:val="nothing"/>
      <w:lvlText w:val="%1.%2.%3.%4.%5　"/>
      <w:lvlJc w:val="left"/>
      <w:pPr>
        <w:ind w:left="0" w:firstLine="0"/>
      </w:pPr>
      <w:rPr>
        <w:rFonts w:hint="eastAsia" w:ascii="黑体" w:hAnsi="Times New Roman" w:eastAsia="黑体"/>
        <w:b w:val="0"/>
        <w:i w:val="0"/>
        <w:sz w:val="21"/>
      </w:rPr>
    </w:lvl>
    <w:lvl w:ilvl="5" w:tentative="1">
      <w:start w:val="1"/>
      <w:numFmt w:val="decimal"/>
      <w:pStyle w:val="89"/>
      <w:suff w:val="nothing"/>
      <w:lvlText w:val="%1.%2.%3.%4.%5.%6　"/>
      <w:lvlJc w:val="left"/>
      <w:pPr>
        <w:ind w:left="0" w:firstLine="0"/>
      </w:pPr>
      <w:rPr>
        <w:rFonts w:hint="eastAsia" w:ascii="黑体" w:hAnsi="Times New Roman" w:eastAsia="黑体"/>
        <w:b w:val="0"/>
        <w:i w:val="0"/>
        <w:sz w:val="21"/>
      </w:rPr>
    </w:lvl>
    <w:lvl w:ilvl="6" w:tentative="1">
      <w:start w:val="1"/>
      <w:numFmt w:val="decimal"/>
      <w:pStyle w:val="93"/>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835796429">
    <w:nsid w:val="6D6C07CD"/>
    <w:multiLevelType w:val="multilevel"/>
    <w:tmpl w:val="6D6C07CD"/>
    <w:lvl w:ilvl="0" w:tentative="1">
      <w:start w:val="1"/>
      <w:numFmt w:val="lowerLetter"/>
      <w:pStyle w:val="98"/>
      <w:lvlText w:val="%1)"/>
      <w:lvlJc w:val="left"/>
      <w:pPr>
        <w:tabs>
          <w:tab w:val="left" w:pos="839"/>
        </w:tabs>
        <w:ind w:left="839" w:hanging="419"/>
      </w:pPr>
      <w:rPr>
        <w:rFonts w:hint="eastAsia" w:ascii="宋体" w:eastAsia="宋体"/>
        <w:b w:val="0"/>
        <w:i w:val="0"/>
        <w:sz w:val="21"/>
      </w:rPr>
    </w:lvl>
    <w:lvl w:ilvl="1" w:tentative="1">
      <w:start w:val="1"/>
      <w:numFmt w:val="decimal"/>
      <w:pStyle w:val="88"/>
      <w:lvlText w:val="%2)"/>
      <w:lvlJc w:val="left"/>
      <w:pPr>
        <w:tabs>
          <w:tab w:val="left" w:pos="840"/>
        </w:tabs>
        <w:ind w:left="839" w:hanging="419"/>
      </w:pPr>
      <w:rPr>
        <w:rFonts w:hint="eastAsia" w:ascii="宋体" w:eastAsia="宋体"/>
        <w:b w:val="0"/>
        <w:i w:val="0"/>
        <w:sz w:val="21"/>
      </w:rPr>
    </w:lvl>
    <w:lvl w:ilvl="2" w:tentative="1">
      <w:start w:val="1"/>
      <w:numFmt w:val="lowerRoman"/>
      <w:lvlText w:val="%3."/>
      <w:lvlJc w:val="right"/>
      <w:pPr>
        <w:tabs>
          <w:tab w:val="left" w:pos="1260"/>
        </w:tabs>
        <w:ind w:left="1259" w:hanging="419"/>
      </w:pPr>
      <w:rPr>
        <w:rFonts w:hint="eastAsia"/>
      </w:rPr>
    </w:lvl>
    <w:lvl w:ilvl="3" w:tentative="1">
      <w:start w:val="1"/>
      <w:numFmt w:val="decimal"/>
      <w:lvlText w:val="%4."/>
      <w:lvlJc w:val="left"/>
      <w:pPr>
        <w:tabs>
          <w:tab w:val="left" w:pos="1680"/>
        </w:tabs>
        <w:ind w:left="1679" w:hanging="419"/>
      </w:pPr>
      <w:rPr>
        <w:rFonts w:hint="eastAsia"/>
      </w:rPr>
    </w:lvl>
    <w:lvl w:ilvl="4" w:tentative="1">
      <w:start w:val="1"/>
      <w:numFmt w:val="lowerLetter"/>
      <w:lvlText w:val="%5)"/>
      <w:lvlJc w:val="left"/>
      <w:pPr>
        <w:tabs>
          <w:tab w:val="left" w:pos="2100"/>
        </w:tabs>
        <w:ind w:left="2099" w:hanging="419"/>
      </w:pPr>
      <w:rPr>
        <w:rFonts w:hint="eastAsia"/>
      </w:rPr>
    </w:lvl>
    <w:lvl w:ilvl="5" w:tentative="1">
      <w:start w:val="1"/>
      <w:numFmt w:val="lowerRoman"/>
      <w:lvlText w:val="%6."/>
      <w:lvlJc w:val="right"/>
      <w:pPr>
        <w:tabs>
          <w:tab w:val="left" w:pos="2520"/>
        </w:tabs>
        <w:ind w:left="2519" w:hanging="419"/>
      </w:pPr>
      <w:rPr>
        <w:rFonts w:hint="eastAsia"/>
      </w:rPr>
    </w:lvl>
    <w:lvl w:ilvl="6" w:tentative="1">
      <w:start w:val="1"/>
      <w:numFmt w:val="decimal"/>
      <w:lvlText w:val="%7."/>
      <w:lvlJc w:val="left"/>
      <w:pPr>
        <w:tabs>
          <w:tab w:val="left" w:pos="2940"/>
        </w:tabs>
        <w:ind w:left="2939" w:hanging="419"/>
      </w:pPr>
      <w:rPr>
        <w:rFonts w:hint="eastAsia"/>
      </w:rPr>
    </w:lvl>
    <w:lvl w:ilvl="7" w:tentative="1">
      <w:start w:val="1"/>
      <w:numFmt w:val="lowerLetter"/>
      <w:lvlText w:val="%8)"/>
      <w:lvlJc w:val="left"/>
      <w:pPr>
        <w:tabs>
          <w:tab w:val="left" w:pos="3360"/>
        </w:tabs>
        <w:ind w:left="3359" w:hanging="419"/>
      </w:pPr>
      <w:rPr>
        <w:rFonts w:hint="eastAsia"/>
      </w:rPr>
    </w:lvl>
    <w:lvl w:ilvl="8" w:tentative="1">
      <w:start w:val="1"/>
      <w:numFmt w:val="lowerRoman"/>
      <w:lvlText w:val="%9."/>
      <w:lvlJc w:val="right"/>
      <w:pPr>
        <w:tabs>
          <w:tab w:val="left" w:pos="3780"/>
        </w:tabs>
        <w:ind w:left="3779" w:hanging="419"/>
      </w:pPr>
      <w:rPr>
        <w:rFonts w:hint="eastAsia"/>
      </w:rPr>
    </w:lvl>
  </w:abstractNum>
  <w:abstractNum w:abstractNumId="1841235188">
    <w:nsid w:val="6DBF04F4"/>
    <w:multiLevelType w:val="multilevel"/>
    <w:tmpl w:val="6DBF04F4"/>
    <w:lvl w:ilvl="0" w:tentative="1">
      <w:start w:val="1"/>
      <w:numFmt w:val="none"/>
      <w:pStyle w:val="52"/>
      <w:suff w:val="nothing"/>
      <w:lvlText w:val="%1注："/>
      <w:lvlJc w:val="left"/>
      <w:pPr>
        <w:ind w:left="726" w:hanging="363"/>
      </w:pPr>
      <w:rPr>
        <w:rFonts w:hint="eastAsia" w:ascii="黑体" w:hAnsi="Times New Roman" w:eastAsia="黑体"/>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1855144714">
    <w:nsid w:val="6E93430A"/>
    <w:multiLevelType w:val="multilevel"/>
    <w:tmpl w:val="6E93430A"/>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890728391">
    <w:nsid w:val="70B239C7"/>
    <w:multiLevelType w:val="multilevel"/>
    <w:tmpl w:val="70B239C7"/>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946422931">
    <w:nsid w:val="74040E93"/>
    <w:multiLevelType w:val="multilevel"/>
    <w:tmpl w:val="74040E93"/>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2045061543">
    <w:nsid w:val="79E529A7"/>
    <w:multiLevelType w:val="multilevel"/>
    <w:tmpl w:val="79E529A7"/>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2058159094">
    <w:nsid w:val="7AAD03F6"/>
    <w:multiLevelType w:val="multilevel"/>
    <w:tmpl w:val="7AAD03F6"/>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2113820003">
    <w:nsid w:val="7DFE5563"/>
    <w:multiLevelType w:val="multilevel"/>
    <w:tmpl w:val="7DFE5563"/>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num w:numId="1">
    <w:abstractNumId w:val="1030960664"/>
  </w:num>
  <w:num w:numId="2">
    <w:abstractNumId w:val="533270883"/>
  </w:num>
  <w:num w:numId="3">
    <w:abstractNumId w:val="744036291"/>
  </w:num>
  <w:num w:numId="4">
    <w:abstractNumId w:val="182675433"/>
  </w:num>
  <w:num w:numId="5">
    <w:abstractNumId w:val="1153765264"/>
  </w:num>
  <w:num w:numId="6">
    <w:abstractNumId w:val="1841235188"/>
  </w:num>
  <w:num w:numId="7">
    <w:abstractNumId w:val="126943917"/>
  </w:num>
  <w:num w:numId="8">
    <w:abstractNumId w:val="1265842783"/>
  </w:num>
  <w:num w:numId="9">
    <w:abstractNumId w:val="499079226"/>
  </w:num>
  <w:num w:numId="10">
    <w:abstractNumId w:val="1702707132"/>
  </w:num>
  <w:num w:numId="11">
    <w:abstractNumId w:val="1622498754"/>
  </w:num>
  <w:num w:numId="12">
    <w:abstractNumId w:val="1835796429"/>
  </w:num>
  <w:num w:numId="13">
    <w:abstractNumId w:val="714043667"/>
  </w:num>
  <w:num w:numId="14">
    <w:abstractNumId w:val="154953592"/>
  </w:num>
  <w:num w:numId="15">
    <w:abstractNumId w:val="232663878"/>
  </w:num>
  <w:num w:numId="16">
    <w:abstractNumId w:val="1684168954"/>
  </w:num>
  <w:num w:numId="17">
    <w:abstractNumId w:val="1434200821"/>
  </w:num>
  <w:num w:numId="18">
    <w:abstractNumId w:val="1252660279"/>
  </w:num>
  <w:num w:numId="19">
    <w:abstractNumId w:val="408775382"/>
    <w:lvlOverride w:ilvl="0">
      <w:startOverride w:val="1"/>
    </w:lvlOverride>
  </w:num>
  <w:num w:numId="20">
    <w:abstractNumId w:val="100539587"/>
  </w:num>
  <w:num w:numId="21">
    <w:abstractNumId w:val="1409614020"/>
  </w:num>
  <w:num w:numId="22">
    <w:abstractNumId w:val="1946422931"/>
  </w:num>
  <w:num w:numId="23">
    <w:abstractNumId w:val="1153765264"/>
    <w:lvlOverride w:ilvl="0">
      <w:startOverride w:val="1"/>
    </w:lvlOverride>
  </w:num>
  <w:num w:numId="24">
    <w:abstractNumId w:val="338385220"/>
    <w:lvlOverride w:ilvl="0">
      <w:startOverride w:val="1"/>
    </w:lvlOverride>
  </w:num>
  <w:num w:numId="25">
    <w:abstractNumId w:val="1440638738"/>
    <w:lvlOverride w:ilvl="0">
      <w:startOverride w:val="1"/>
    </w:lvlOverride>
  </w:num>
  <w:num w:numId="26">
    <w:abstractNumId w:val="1599365314"/>
    <w:lvlOverride w:ilvl="0">
      <w:startOverride w:val="1"/>
    </w:lvlOverride>
  </w:num>
  <w:num w:numId="27">
    <w:abstractNumId w:val="1492330821"/>
    <w:lvlOverride w:ilvl="0">
      <w:startOverride w:val="1"/>
    </w:lvlOverride>
  </w:num>
  <w:num w:numId="28">
    <w:abstractNumId w:val="548491367"/>
    <w:lvlOverride w:ilvl="0">
      <w:startOverride w:val="1"/>
    </w:lvlOverride>
  </w:num>
  <w:num w:numId="29">
    <w:abstractNumId w:val="1009719842"/>
  </w:num>
  <w:num w:numId="30">
    <w:abstractNumId w:val="148597761"/>
    <w:lvlOverride w:ilvl="0">
      <w:startOverride w:val="1"/>
    </w:lvlOverride>
  </w:num>
  <w:num w:numId="31">
    <w:abstractNumId w:val="1055737971"/>
  </w:num>
  <w:num w:numId="32">
    <w:abstractNumId w:val="793183780"/>
  </w:num>
  <w:num w:numId="33">
    <w:abstractNumId w:val="2045061543"/>
    <w:lvlOverride w:ilvl="0">
      <w:startOverride w:val="1"/>
    </w:lvlOverride>
  </w:num>
  <w:num w:numId="34">
    <w:abstractNumId w:val="1051804775"/>
    <w:lvlOverride w:ilvl="0">
      <w:startOverride w:val="1"/>
    </w:lvlOverride>
  </w:num>
  <w:num w:numId="35">
    <w:abstractNumId w:val="847914145"/>
  </w:num>
  <w:num w:numId="36">
    <w:abstractNumId w:val="1855144714"/>
    <w:lvlOverride w:ilvl="0">
      <w:startOverride w:val="1"/>
    </w:lvlOverride>
  </w:num>
  <w:num w:numId="37">
    <w:abstractNumId w:val="860703631"/>
    <w:lvlOverride w:ilvl="0">
      <w:startOverride w:val="1"/>
    </w:lvlOverride>
  </w:num>
  <w:num w:numId="38">
    <w:abstractNumId w:val="365058037"/>
    <w:lvlOverride w:ilvl="0">
      <w:startOverride w:val="1"/>
    </w:lvlOverride>
  </w:num>
  <w:num w:numId="39">
    <w:abstractNumId w:val="1890728391"/>
  </w:num>
  <w:num w:numId="40">
    <w:abstractNumId w:val="1391733539"/>
  </w:num>
  <w:num w:numId="41">
    <w:abstractNumId w:val="150566807"/>
  </w:num>
  <w:num w:numId="42">
    <w:abstractNumId w:val="545603651"/>
  </w:num>
  <w:num w:numId="43">
    <w:abstractNumId w:val="2113820003"/>
    <w:lvlOverride w:ilvl="0">
      <w:startOverride w:val="1"/>
    </w:lvlOverride>
  </w:num>
  <w:num w:numId="44">
    <w:abstractNumId w:val="1171946788"/>
    <w:lvlOverride w:ilvl="0">
      <w:startOverride w:val="1"/>
    </w:lvlOverride>
  </w:num>
  <w:num w:numId="45">
    <w:abstractNumId w:val="2058159094"/>
  </w:num>
  <w:num w:numId="46">
    <w:abstractNumId w:val="835878640"/>
  </w:num>
  <w:num w:numId="47">
    <w:abstractNumId w:val="398136973"/>
    <w:lvlOverride w:ilvl="0">
      <w:startOverride w:val="1"/>
    </w:lvlOverride>
  </w:num>
  <w:num w:numId="48">
    <w:abstractNumId w:val="637150639"/>
    <w:lvlOverride w:ilvl="0">
      <w:startOverride w:val="1"/>
    </w:lvlOverride>
  </w:num>
  <w:num w:numId="49">
    <w:abstractNumId w:val="1290235959"/>
    <w:lvlOverride w:ilvl="0">
      <w:startOverride w:val="1"/>
    </w:lvlOverride>
  </w:num>
  <w:num w:numId="50">
    <w:abstractNumId w:val="1946422931"/>
    <w:lvlOverride w:ilvl="0">
      <w:startOverride w:val="1"/>
    </w:lvlOverride>
  </w:num>
  <w:num w:numId="51">
    <w:abstractNumId w:val="1414550971"/>
    <w:lvlOverride w:ilvl="0">
      <w:startOverride w:val="1"/>
    </w:lvlOverride>
  </w:num>
  <w:num w:numId="52">
    <w:abstractNumId w:val="15095369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B303F"/>
    <w:rsid w:val="000000F9"/>
    <w:rsid w:val="00000244"/>
    <w:rsid w:val="0000185F"/>
    <w:rsid w:val="00002A0C"/>
    <w:rsid w:val="0000586F"/>
    <w:rsid w:val="00013D86"/>
    <w:rsid w:val="00013E02"/>
    <w:rsid w:val="0002143C"/>
    <w:rsid w:val="00025A65"/>
    <w:rsid w:val="00026C31"/>
    <w:rsid w:val="00027280"/>
    <w:rsid w:val="000320A7"/>
    <w:rsid w:val="00035925"/>
    <w:rsid w:val="0004108F"/>
    <w:rsid w:val="00060358"/>
    <w:rsid w:val="00062667"/>
    <w:rsid w:val="00067CDF"/>
    <w:rsid w:val="00074FBE"/>
    <w:rsid w:val="00083A09"/>
    <w:rsid w:val="0009005E"/>
    <w:rsid w:val="00092857"/>
    <w:rsid w:val="00097EBC"/>
    <w:rsid w:val="000A20A9"/>
    <w:rsid w:val="000A48B1"/>
    <w:rsid w:val="000B192E"/>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57C9B"/>
    <w:rsid w:val="002622C0"/>
    <w:rsid w:val="002778AE"/>
    <w:rsid w:val="0028269A"/>
    <w:rsid w:val="00283590"/>
    <w:rsid w:val="00286973"/>
    <w:rsid w:val="00294E70"/>
    <w:rsid w:val="002A1924"/>
    <w:rsid w:val="002A7420"/>
    <w:rsid w:val="002B0F12"/>
    <w:rsid w:val="002B1308"/>
    <w:rsid w:val="002B4554"/>
    <w:rsid w:val="002B6103"/>
    <w:rsid w:val="002C72D8"/>
    <w:rsid w:val="002D09DD"/>
    <w:rsid w:val="002D11FA"/>
    <w:rsid w:val="002E0DDF"/>
    <w:rsid w:val="002E2906"/>
    <w:rsid w:val="002E5635"/>
    <w:rsid w:val="002E64C3"/>
    <w:rsid w:val="002E6A2C"/>
    <w:rsid w:val="002F1D8C"/>
    <w:rsid w:val="002F21DA"/>
    <w:rsid w:val="00301F39"/>
    <w:rsid w:val="00325926"/>
    <w:rsid w:val="00327A8A"/>
    <w:rsid w:val="00336610"/>
    <w:rsid w:val="00343F73"/>
    <w:rsid w:val="0034483B"/>
    <w:rsid w:val="00345060"/>
    <w:rsid w:val="0035323B"/>
    <w:rsid w:val="003609D2"/>
    <w:rsid w:val="00363F22"/>
    <w:rsid w:val="00375564"/>
    <w:rsid w:val="00383191"/>
    <w:rsid w:val="00386DED"/>
    <w:rsid w:val="003907D1"/>
    <w:rsid w:val="003912E7"/>
    <w:rsid w:val="00393947"/>
    <w:rsid w:val="003A2275"/>
    <w:rsid w:val="003A40C3"/>
    <w:rsid w:val="003A4D7C"/>
    <w:rsid w:val="003A6A4F"/>
    <w:rsid w:val="003A7088"/>
    <w:rsid w:val="003B00DF"/>
    <w:rsid w:val="003B1275"/>
    <w:rsid w:val="003B1778"/>
    <w:rsid w:val="003B3621"/>
    <w:rsid w:val="003C11CB"/>
    <w:rsid w:val="003C75F3"/>
    <w:rsid w:val="003C78A3"/>
    <w:rsid w:val="003E1867"/>
    <w:rsid w:val="003E5729"/>
    <w:rsid w:val="003F4EE0"/>
    <w:rsid w:val="003F5BF3"/>
    <w:rsid w:val="00402153"/>
    <w:rsid w:val="00402FC1"/>
    <w:rsid w:val="00425082"/>
    <w:rsid w:val="00431DEB"/>
    <w:rsid w:val="00446B29"/>
    <w:rsid w:val="00453F9A"/>
    <w:rsid w:val="00471E91"/>
    <w:rsid w:val="00474675"/>
    <w:rsid w:val="0047470C"/>
    <w:rsid w:val="00474DCA"/>
    <w:rsid w:val="004A35F9"/>
    <w:rsid w:val="004B24C1"/>
    <w:rsid w:val="004B303F"/>
    <w:rsid w:val="004C292F"/>
    <w:rsid w:val="004D0815"/>
    <w:rsid w:val="00510280"/>
    <w:rsid w:val="00513D73"/>
    <w:rsid w:val="00514A43"/>
    <w:rsid w:val="005174E5"/>
    <w:rsid w:val="00522393"/>
    <w:rsid w:val="00522620"/>
    <w:rsid w:val="00525656"/>
    <w:rsid w:val="00534C02"/>
    <w:rsid w:val="0054264B"/>
    <w:rsid w:val="00543786"/>
    <w:rsid w:val="005533D7"/>
    <w:rsid w:val="005666EA"/>
    <w:rsid w:val="005703DE"/>
    <w:rsid w:val="00571657"/>
    <w:rsid w:val="0058464E"/>
    <w:rsid w:val="005960C7"/>
    <w:rsid w:val="005A01CB"/>
    <w:rsid w:val="005A58FF"/>
    <w:rsid w:val="005A5EAF"/>
    <w:rsid w:val="005A64C0"/>
    <w:rsid w:val="005B3C11"/>
    <w:rsid w:val="005C1C28"/>
    <w:rsid w:val="005C6DB5"/>
    <w:rsid w:val="005E19E7"/>
    <w:rsid w:val="006127F2"/>
    <w:rsid w:val="0061716C"/>
    <w:rsid w:val="006243A1"/>
    <w:rsid w:val="00632E56"/>
    <w:rsid w:val="00635CBA"/>
    <w:rsid w:val="0064338B"/>
    <w:rsid w:val="00646542"/>
    <w:rsid w:val="006504F4"/>
    <w:rsid w:val="00654BC9"/>
    <w:rsid w:val="006552FD"/>
    <w:rsid w:val="00660B83"/>
    <w:rsid w:val="00663AF3"/>
    <w:rsid w:val="00666B6C"/>
    <w:rsid w:val="00682682"/>
    <w:rsid w:val="00682702"/>
    <w:rsid w:val="006831AD"/>
    <w:rsid w:val="00692368"/>
    <w:rsid w:val="006A2EBC"/>
    <w:rsid w:val="006A5EA0"/>
    <w:rsid w:val="006A783B"/>
    <w:rsid w:val="006A7B33"/>
    <w:rsid w:val="006B4E13"/>
    <w:rsid w:val="006B75DD"/>
    <w:rsid w:val="006C67E0"/>
    <w:rsid w:val="006C7ABA"/>
    <w:rsid w:val="006D0A14"/>
    <w:rsid w:val="006D0D60"/>
    <w:rsid w:val="006D1122"/>
    <w:rsid w:val="006D3C00"/>
    <w:rsid w:val="006E3675"/>
    <w:rsid w:val="006E4A7F"/>
    <w:rsid w:val="00704DF6"/>
    <w:rsid w:val="0070651C"/>
    <w:rsid w:val="007132A3"/>
    <w:rsid w:val="00716421"/>
    <w:rsid w:val="00722C87"/>
    <w:rsid w:val="00724EFB"/>
    <w:rsid w:val="007257DC"/>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4050E"/>
    <w:rsid w:val="008504A8"/>
    <w:rsid w:val="0085282E"/>
    <w:rsid w:val="00860E82"/>
    <w:rsid w:val="00866924"/>
    <w:rsid w:val="0087198C"/>
    <w:rsid w:val="00872C1F"/>
    <w:rsid w:val="00873B42"/>
    <w:rsid w:val="008856D8"/>
    <w:rsid w:val="00892E82"/>
    <w:rsid w:val="008C1B58"/>
    <w:rsid w:val="008C1DAB"/>
    <w:rsid w:val="008C39AE"/>
    <w:rsid w:val="008C590D"/>
    <w:rsid w:val="008E031B"/>
    <w:rsid w:val="008E7029"/>
    <w:rsid w:val="008E7EF6"/>
    <w:rsid w:val="008F1F98"/>
    <w:rsid w:val="008F6758"/>
    <w:rsid w:val="009040DD"/>
    <w:rsid w:val="00905B47"/>
    <w:rsid w:val="0091331C"/>
    <w:rsid w:val="009279DE"/>
    <w:rsid w:val="00930116"/>
    <w:rsid w:val="0094212C"/>
    <w:rsid w:val="00944DB8"/>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9F0B2E"/>
    <w:rsid w:val="00A02E43"/>
    <w:rsid w:val="00A065F9"/>
    <w:rsid w:val="00A07F34"/>
    <w:rsid w:val="00A13325"/>
    <w:rsid w:val="00A1596E"/>
    <w:rsid w:val="00A22154"/>
    <w:rsid w:val="00A23569"/>
    <w:rsid w:val="00A25C38"/>
    <w:rsid w:val="00A36BBE"/>
    <w:rsid w:val="00A4307A"/>
    <w:rsid w:val="00A46282"/>
    <w:rsid w:val="00A47EBB"/>
    <w:rsid w:val="00A51CDD"/>
    <w:rsid w:val="00A6730D"/>
    <w:rsid w:val="00A71625"/>
    <w:rsid w:val="00A71B9B"/>
    <w:rsid w:val="00A751C7"/>
    <w:rsid w:val="00A87844"/>
    <w:rsid w:val="00A95A67"/>
    <w:rsid w:val="00AA038C"/>
    <w:rsid w:val="00AA7A09"/>
    <w:rsid w:val="00AB3B50"/>
    <w:rsid w:val="00AC05B1"/>
    <w:rsid w:val="00AD356C"/>
    <w:rsid w:val="00AE2914"/>
    <w:rsid w:val="00AE4F86"/>
    <w:rsid w:val="00AE6D15"/>
    <w:rsid w:val="00AE7C81"/>
    <w:rsid w:val="00B04182"/>
    <w:rsid w:val="00B07AE3"/>
    <w:rsid w:val="00B11430"/>
    <w:rsid w:val="00B17E10"/>
    <w:rsid w:val="00B353EB"/>
    <w:rsid w:val="00B439C4"/>
    <w:rsid w:val="00B4535E"/>
    <w:rsid w:val="00B52A8C"/>
    <w:rsid w:val="00B636A8"/>
    <w:rsid w:val="00B665C6"/>
    <w:rsid w:val="00B805AF"/>
    <w:rsid w:val="00B84604"/>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15159"/>
    <w:rsid w:val="00C2136D"/>
    <w:rsid w:val="00C214EE"/>
    <w:rsid w:val="00C2314B"/>
    <w:rsid w:val="00C24971"/>
    <w:rsid w:val="00C26BE5"/>
    <w:rsid w:val="00C26E4D"/>
    <w:rsid w:val="00C27909"/>
    <w:rsid w:val="00C27B03"/>
    <w:rsid w:val="00C314E1"/>
    <w:rsid w:val="00C34397"/>
    <w:rsid w:val="00C4095D"/>
    <w:rsid w:val="00C601D2"/>
    <w:rsid w:val="00C654CB"/>
    <w:rsid w:val="00C657AB"/>
    <w:rsid w:val="00C65BCC"/>
    <w:rsid w:val="00C66970"/>
    <w:rsid w:val="00C8691C"/>
    <w:rsid w:val="00C87A73"/>
    <w:rsid w:val="00CA168A"/>
    <w:rsid w:val="00CA357E"/>
    <w:rsid w:val="00CA44F9"/>
    <w:rsid w:val="00CA4A69"/>
    <w:rsid w:val="00CC3E0C"/>
    <w:rsid w:val="00CC58D3"/>
    <w:rsid w:val="00CC784D"/>
    <w:rsid w:val="00CD112C"/>
    <w:rsid w:val="00D0337B"/>
    <w:rsid w:val="00D079B2"/>
    <w:rsid w:val="00D114E9"/>
    <w:rsid w:val="00D429C6"/>
    <w:rsid w:val="00D47748"/>
    <w:rsid w:val="00D54CC3"/>
    <w:rsid w:val="00D6041A"/>
    <w:rsid w:val="00D633EB"/>
    <w:rsid w:val="00D82FF7"/>
    <w:rsid w:val="00D847FE"/>
    <w:rsid w:val="00D86EBB"/>
    <w:rsid w:val="00D964EA"/>
    <w:rsid w:val="00D966D0"/>
    <w:rsid w:val="00DA0C59"/>
    <w:rsid w:val="00DA3991"/>
    <w:rsid w:val="00DB7E6C"/>
    <w:rsid w:val="00DD3631"/>
    <w:rsid w:val="00DD5A29"/>
    <w:rsid w:val="00DD5D9D"/>
    <w:rsid w:val="00DE35CB"/>
    <w:rsid w:val="00DF21E9"/>
    <w:rsid w:val="00DF4B53"/>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4FF1"/>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22C6"/>
    <w:rsid w:val="00FC2366"/>
    <w:rsid w:val="00FC6358"/>
    <w:rsid w:val="00FD320D"/>
    <w:rsid w:val="00FE23DE"/>
    <w:rsid w:val="2BA11EB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name="toc 2"/>
    <w:lsdException w:unhideWhenUsed="0" w:uiPriority="39"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9">
    <w:name w:val="Default Paragraph Font"/>
    <w:unhideWhenUsed/>
    <w:uiPriority w:val="1"/>
  </w:style>
  <w:style w:type="table" w:default="1" w:styleId="35">
    <w:name w:val="Normal Table"/>
    <w:unhideWhenUsed/>
    <w:uiPriority w:val="99"/>
    <w:tblPr>
      <w:tblStyle w:val="35"/>
      <w:tblLayout w:type="fixed"/>
      <w:tblCellMar>
        <w:top w:w="0" w:type="dxa"/>
        <w:left w:w="108" w:type="dxa"/>
        <w:bottom w:w="0" w:type="dxa"/>
        <w:right w:w="108" w:type="dxa"/>
      </w:tblCellMar>
    </w:tblPr>
    <w:tcPr>
      <w:textDirection w:val="lrTb"/>
    </w:tcPr>
  </w:style>
  <w:style w:type="paragraph" w:styleId="2">
    <w:name w:val="toc 7"/>
    <w:basedOn w:val="1"/>
    <w:next w:val="1"/>
    <w:semiHidden/>
    <w:uiPriority w:val="0"/>
    <w:pPr>
      <w:tabs>
        <w:tab w:val="right" w:leader="dot" w:pos="9241"/>
      </w:tabs>
      <w:ind w:firstLine="505"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index 6"/>
    <w:basedOn w:val="1"/>
    <w:next w:val="1"/>
    <w:uiPriority w:val="0"/>
    <w:pPr>
      <w:ind w:left="1260" w:hanging="210"/>
      <w:jc w:val="left"/>
    </w:pPr>
    <w:rPr>
      <w:rFonts w:ascii="Calibri" w:hAnsi="Calibri"/>
      <w:sz w:val="20"/>
      <w:szCs w:val="20"/>
    </w:rPr>
  </w:style>
  <w:style w:type="paragraph" w:styleId="8">
    <w:name w:val="index 4"/>
    <w:basedOn w:val="1"/>
    <w:next w:val="1"/>
    <w:uiPriority w:val="0"/>
    <w:pPr>
      <w:ind w:left="840" w:hanging="210"/>
      <w:jc w:val="left"/>
    </w:pPr>
    <w:rPr>
      <w:rFonts w:ascii="Calibri" w:hAnsi="Calibri"/>
      <w:sz w:val="20"/>
      <w:szCs w:val="20"/>
    </w:rPr>
  </w:style>
  <w:style w:type="paragraph" w:styleId="9">
    <w:name w:val="toc 5"/>
    <w:basedOn w:val="1"/>
    <w:next w:val="1"/>
    <w:semiHidden/>
    <w:uiPriority w:val="0"/>
    <w:pPr>
      <w:tabs>
        <w:tab w:val="right" w:leader="dot" w:pos="9241"/>
      </w:tabs>
      <w:ind w:firstLine="300" w:firstLineChars="300"/>
      <w:jc w:val="left"/>
    </w:pPr>
    <w:rPr>
      <w:rFonts w:ascii="宋体"/>
      <w:szCs w:val="21"/>
    </w:rPr>
  </w:style>
  <w:style w:type="paragraph" w:styleId="10">
    <w:name w:val="toc 3"/>
    <w:basedOn w:val="1"/>
    <w:next w:val="1"/>
    <w:uiPriority w:val="39"/>
    <w:pPr>
      <w:tabs>
        <w:tab w:val="right" w:leader="dot" w:pos="9241"/>
      </w:tabs>
      <w:ind w:firstLine="102" w:firstLineChars="100"/>
      <w:jc w:val="left"/>
    </w:pPr>
    <w:rPr>
      <w:rFonts w:ascii="宋体"/>
      <w:szCs w:val="21"/>
    </w:rPr>
  </w:style>
  <w:style w:type="paragraph" w:styleId="11">
    <w:name w:val="toc 8"/>
    <w:basedOn w:val="1"/>
    <w:next w:val="1"/>
    <w:semiHidden/>
    <w:uiPriority w:val="0"/>
    <w:pPr>
      <w:tabs>
        <w:tab w:val="right" w:leader="dot" w:pos="9241"/>
      </w:tabs>
      <w:ind w:firstLine="607" w:firstLineChars="600"/>
      <w:jc w:val="left"/>
    </w:pPr>
    <w:rPr>
      <w:rFonts w:ascii="宋体"/>
      <w:szCs w:val="21"/>
    </w:rPr>
  </w:style>
  <w:style w:type="paragraph" w:styleId="12">
    <w:name w:val="index 3"/>
    <w:basedOn w:val="1"/>
    <w:next w:val="1"/>
    <w:uiPriority w:val="0"/>
    <w:pPr>
      <w:ind w:left="630" w:hanging="210"/>
      <w:jc w:val="left"/>
    </w:pPr>
    <w:rPr>
      <w:rFonts w:ascii="Calibri" w:hAnsi="Calibri"/>
      <w:sz w:val="20"/>
      <w:szCs w:val="20"/>
    </w:rPr>
  </w:style>
  <w:style w:type="paragraph" w:styleId="13">
    <w:name w:val="endnote text"/>
    <w:basedOn w:val="1"/>
    <w:semiHidden/>
    <w:uiPriority w:val="0"/>
    <w:pPr>
      <w:snapToGrid w:val="0"/>
      <w:jc w:val="left"/>
    </w:pPr>
  </w:style>
  <w:style w:type="paragraph" w:styleId="14">
    <w:name w:val="Balloon Text"/>
    <w:basedOn w:val="1"/>
    <w:link w:val="133"/>
    <w:uiPriority w:val="0"/>
    <w:rPr>
      <w:sz w:val="18"/>
      <w:szCs w:val="18"/>
    </w:rPr>
  </w:style>
  <w:style w:type="paragraph" w:styleId="15">
    <w:name w:val="footer"/>
    <w:basedOn w:val="1"/>
    <w:uiPriority w:val="0"/>
    <w:pPr>
      <w:snapToGrid w:val="0"/>
      <w:ind w:right="210" w:rightChars="100"/>
      <w:jc w:val="right"/>
    </w:pPr>
    <w:rPr>
      <w:sz w:val="18"/>
      <w:szCs w:val="18"/>
    </w:rPr>
  </w:style>
  <w:style w:type="paragraph" w:styleId="16">
    <w:name w:val="header"/>
    <w:basedOn w:val="1"/>
    <w:uiPriority w:val="0"/>
    <w:pPr>
      <w:snapToGrid w:val="0"/>
      <w:jc w:val="left"/>
    </w:pPr>
    <w:rPr>
      <w:sz w:val="18"/>
      <w:szCs w:val="18"/>
    </w:rPr>
  </w:style>
  <w:style w:type="paragraph" w:styleId="17">
    <w:name w:val="toc 1"/>
    <w:basedOn w:val="1"/>
    <w:next w:val="1"/>
    <w:uiPriority w:val="39"/>
    <w:pPr>
      <w:tabs>
        <w:tab w:val="right" w:leader="dot" w:pos="9241"/>
      </w:tabs>
      <w:spacing w:beforeLines="25" w:afterLines="25"/>
      <w:jc w:val="left"/>
    </w:pPr>
    <w:rPr>
      <w:rFonts w:ascii="宋体"/>
      <w:szCs w:val="21"/>
    </w:rPr>
  </w:style>
  <w:style w:type="paragraph" w:styleId="18">
    <w:name w:val="toc 4"/>
    <w:basedOn w:val="1"/>
    <w:next w:val="1"/>
    <w:semiHidden/>
    <w:uiPriority w:val="0"/>
    <w:pPr>
      <w:tabs>
        <w:tab w:val="right" w:leader="dot" w:pos="9241"/>
      </w:tabs>
      <w:ind w:firstLine="198" w:firstLineChars="200"/>
      <w:jc w:val="left"/>
    </w:pPr>
    <w:rPr>
      <w:rFonts w:ascii="宋体"/>
      <w:szCs w:val="21"/>
    </w:rPr>
  </w:style>
  <w:style w:type="paragraph" w:styleId="19">
    <w:name w:val="index heading"/>
    <w:basedOn w:val="1"/>
    <w:next w:val="20"/>
    <w:uiPriority w:val="0"/>
    <w:pPr>
      <w:spacing w:before="120" w:after="120"/>
      <w:jc w:val="center"/>
    </w:pPr>
    <w:rPr>
      <w:rFonts w:ascii="Calibri" w:hAnsi="Calibri"/>
      <w:b/>
      <w:bCs/>
      <w:iCs/>
      <w:szCs w:val="20"/>
    </w:rPr>
  </w:style>
  <w:style w:type="paragraph" w:styleId="20">
    <w:name w:val="index 1"/>
    <w:basedOn w:val="1"/>
    <w:next w:val="21"/>
    <w:uiPriority w:val="0"/>
    <w:pPr>
      <w:tabs>
        <w:tab w:val="right" w:leader="dot" w:pos="9299"/>
      </w:tabs>
      <w:jc w:val="left"/>
    </w:pPr>
    <w:rPr>
      <w:rFonts w:ascii="宋体"/>
      <w:szCs w:val="21"/>
    </w:rPr>
  </w:style>
  <w:style w:type="paragraph" w:customStyle="1" w:styleId="21">
    <w:name w:val="段"/>
    <w:link w:val="129"/>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uiPriority w:val="0"/>
    <w:pPr>
      <w:numPr>
        <w:ilvl w:val="0"/>
        <w:numId w:val="1"/>
      </w:numPr>
      <w:snapToGrid w:val="0"/>
      <w:jc w:val="left"/>
    </w:pPr>
    <w:rPr>
      <w:rFonts w:ascii="宋体"/>
      <w:sz w:val="18"/>
      <w:szCs w:val="18"/>
    </w:rPr>
  </w:style>
  <w:style w:type="paragraph" w:styleId="23">
    <w:name w:val="toc 6"/>
    <w:basedOn w:val="1"/>
    <w:next w:val="1"/>
    <w:semiHidden/>
    <w:uiPriority w:val="0"/>
    <w:pPr>
      <w:tabs>
        <w:tab w:val="right" w:leader="dot" w:pos="9241"/>
      </w:tabs>
      <w:ind w:firstLine="403" w:firstLineChars="400"/>
      <w:jc w:val="left"/>
    </w:pPr>
    <w:rPr>
      <w:rFonts w:ascii="宋体"/>
      <w:szCs w:val="21"/>
    </w:rPr>
  </w:style>
  <w:style w:type="paragraph" w:styleId="24">
    <w:name w:val="index 7"/>
    <w:basedOn w:val="1"/>
    <w:next w:val="1"/>
    <w:uiPriority w:val="0"/>
    <w:pPr>
      <w:ind w:left="1470" w:hanging="210"/>
      <w:jc w:val="left"/>
    </w:pPr>
    <w:rPr>
      <w:rFonts w:ascii="Calibri" w:hAnsi="Calibri"/>
      <w:sz w:val="20"/>
      <w:szCs w:val="20"/>
    </w:rPr>
  </w:style>
  <w:style w:type="paragraph" w:styleId="25">
    <w:name w:val="index 9"/>
    <w:basedOn w:val="1"/>
    <w:next w:val="1"/>
    <w:uiPriority w:val="0"/>
    <w:pPr>
      <w:ind w:left="1890" w:hanging="210"/>
      <w:jc w:val="left"/>
    </w:pPr>
    <w:rPr>
      <w:rFonts w:ascii="Calibri" w:hAnsi="Calibri"/>
      <w:sz w:val="20"/>
      <w:szCs w:val="20"/>
    </w:rPr>
  </w:style>
  <w:style w:type="paragraph" w:styleId="26">
    <w:name w:val="toc 2"/>
    <w:basedOn w:val="1"/>
    <w:next w:val="1"/>
    <w:semiHidden/>
    <w:uiPriority w:val="0"/>
    <w:pPr>
      <w:tabs>
        <w:tab w:val="right" w:leader="dot" w:pos="9241"/>
      </w:tabs>
    </w:pPr>
    <w:rPr>
      <w:rFonts w:ascii="宋体"/>
      <w:szCs w:val="21"/>
    </w:rPr>
  </w:style>
  <w:style w:type="paragraph" w:styleId="27">
    <w:name w:val="toc 9"/>
    <w:basedOn w:val="1"/>
    <w:next w:val="1"/>
    <w:semiHidden/>
    <w:uiPriority w:val="0"/>
    <w:pPr>
      <w:ind w:left="1470"/>
      <w:jc w:val="left"/>
    </w:pPr>
    <w:rPr>
      <w:sz w:val="20"/>
      <w:szCs w:val="20"/>
    </w:rPr>
  </w:style>
  <w:style w:type="paragraph" w:styleId="28">
    <w:name w:val="index 2"/>
    <w:basedOn w:val="1"/>
    <w:next w:val="1"/>
    <w:uiPriority w:val="0"/>
    <w:pPr>
      <w:ind w:left="420" w:hanging="210"/>
      <w:jc w:val="left"/>
    </w:pPr>
    <w:rPr>
      <w:rFonts w:ascii="Calibri" w:hAnsi="Calibri"/>
      <w:sz w:val="20"/>
      <w:szCs w:val="20"/>
    </w:rPr>
  </w:style>
  <w:style w:type="character" w:styleId="30">
    <w:name w:val="endnote reference"/>
    <w:semiHidden/>
    <w:uiPriority w:val="0"/>
    <w:rPr>
      <w:vertAlign w:val="superscript"/>
    </w:rPr>
  </w:style>
  <w:style w:type="character" w:styleId="31">
    <w:name w:val="page number"/>
    <w:uiPriority w:val="0"/>
    <w:rPr>
      <w:rFonts w:ascii="Times New Roman" w:hAnsi="Times New Roman" w:eastAsia="宋体"/>
      <w:sz w:val="18"/>
    </w:rPr>
  </w:style>
  <w:style w:type="character" w:styleId="32">
    <w:name w:val="FollowedHyperlink"/>
    <w:uiPriority w:val="0"/>
    <w:rPr>
      <w:color w:val="800080"/>
      <w:u w:val="single"/>
    </w:rPr>
  </w:style>
  <w:style w:type="character" w:styleId="33">
    <w:name w:val="Hyperlink"/>
    <w:uiPriority w:val="99"/>
    <w:rPr>
      <w:color w:val="0000FF"/>
      <w:spacing w:val="0"/>
      <w:w w:val="100"/>
      <w:szCs w:val="21"/>
      <w:u w:val="single"/>
    </w:rPr>
  </w:style>
  <w:style w:type="character" w:styleId="34">
    <w:name w:val="footnote reference"/>
    <w:semiHidden/>
    <w:uiPriority w:val="0"/>
    <w:rPr>
      <w:vertAlign w:val="superscript"/>
    </w:rPr>
  </w:style>
  <w:style w:type="table" w:styleId="36">
    <w:name w:val="Table Grid"/>
    <w:basedOn w:val="35"/>
    <w:uiPriority w:val="0"/>
    <w:pPr/>
    <w:rPr>
      <w:rFonts w:ascii="宋体"/>
      <w:sz w:val="18"/>
      <w:szCs w:val="18"/>
    </w:rPr>
    <w:tblPr>
      <w:tblStyle w:val="3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paragraph" w:customStyle="1" w:styleId="37">
    <w:name w:val="一级条标题"/>
    <w:next w:val="21"/>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8">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9">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0">
    <w:name w:val="章标题"/>
    <w:next w:val="21"/>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1">
    <w:name w:val="二级条标题"/>
    <w:basedOn w:val="37"/>
    <w:next w:val="21"/>
    <w:uiPriority w:val="0"/>
    <w:pPr>
      <w:numPr>
        <w:ilvl w:val="2"/>
        <w:numId w:val="2"/>
      </w:numPr>
      <w:spacing w:before="50" w:after="50"/>
      <w:outlineLvl w:val="3"/>
    </w:pPr>
  </w:style>
  <w:style w:type="paragraph" w:customStyle="1" w:styleId="42">
    <w:name w:val="封面标准号2"/>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43">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4">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5">
    <w:name w:val="目次、标准名称标题"/>
    <w:basedOn w:val="1"/>
    <w:next w:val="21"/>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6">
    <w:name w:val="三级条标题"/>
    <w:basedOn w:val="41"/>
    <w:next w:val="21"/>
    <w:uiPriority w:val="0"/>
    <w:pPr>
      <w:numPr>
        <w:ilvl w:val="3"/>
        <w:numId w:val="2"/>
      </w:numPr>
      <w:outlineLvl w:val="4"/>
    </w:pPr>
  </w:style>
  <w:style w:type="paragraph" w:customStyle="1" w:styleId="47">
    <w:name w:val="示例"/>
    <w:next w:val="48"/>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8">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49">
    <w:name w:val="数字编号列项（二级）"/>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50">
    <w:name w:val="四级条标题"/>
    <w:basedOn w:val="46"/>
    <w:next w:val="21"/>
    <w:uiPriority w:val="0"/>
    <w:pPr>
      <w:numPr>
        <w:ilvl w:val="4"/>
        <w:numId w:val="2"/>
      </w:numPr>
      <w:outlineLvl w:val="5"/>
    </w:pPr>
  </w:style>
  <w:style w:type="paragraph" w:customStyle="1" w:styleId="51">
    <w:name w:val="五级条标题"/>
    <w:basedOn w:val="50"/>
    <w:next w:val="21"/>
    <w:uiPriority w:val="0"/>
    <w:pPr>
      <w:numPr>
        <w:ilvl w:val="5"/>
        <w:numId w:val="2"/>
      </w:numPr>
      <w:outlineLvl w:val="6"/>
    </w:pPr>
  </w:style>
  <w:style w:type="paragraph" w:customStyle="1" w:styleId="52">
    <w:name w:val="注："/>
    <w:next w:val="21"/>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3">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4">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55">
    <w:name w:val="列项◆（三级）"/>
    <w:basedOn w:val="1"/>
    <w:uiPriority w:val="0"/>
    <w:pPr>
      <w:numPr>
        <w:ilvl w:val="2"/>
        <w:numId w:val="3"/>
      </w:numPr>
    </w:pPr>
    <w:rPr>
      <w:rFonts w:ascii="宋体"/>
      <w:szCs w:val="21"/>
    </w:rPr>
  </w:style>
  <w:style w:type="paragraph" w:customStyle="1" w:styleId="56">
    <w:name w:val="编号列项（三级）"/>
    <w:uiPriority w:val="0"/>
    <w:pPr>
      <w:numPr>
        <w:ilvl w:val="2"/>
        <w:numId w:val="5"/>
      </w:numPr>
      <w:tabs>
        <w:tab w:val="left" w:pos="840"/>
      </w:tabs>
    </w:pPr>
    <w:rPr>
      <w:rFonts w:ascii="宋体" w:hAnsi="Times New Roman" w:eastAsia="宋体" w:cs="Times New Roman"/>
      <w:sz w:val="21"/>
      <w:lang w:val="en-US" w:eastAsia="zh-CN" w:bidi="ar-SA"/>
    </w:rPr>
  </w:style>
  <w:style w:type="paragraph" w:customStyle="1" w:styleId="57">
    <w:name w:val="示例×："/>
    <w:basedOn w:val="40"/>
    <w:qFormat/>
    <w:uiPriority w:val="0"/>
    <w:pPr>
      <w:numPr>
        <w:ilvl w:val="0"/>
        <w:numId w:val="8"/>
      </w:numPr>
      <w:spacing w:beforeLines="0" w:afterLines="0"/>
      <w:outlineLvl w:val="9"/>
    </w:pPr>
    <w:rPr>
      <w:rFonts w:ascii="宋体" w:eastAsia="宋体"/>
      <w:sz w:val="18"/>
      <w:szCs w:val="18"/>
    </w:rPr>
  </w:style>
  <w:style w:type="paragraph" w:customStyle="1" w:styleId="58">
    <w:name w:val="二级无"/>
    <w:basedOn w:val="41"/>
    <w:uiPriority w:val="0"/>
    <w:pPr>
      <w:spacing w:beforeLines="0" w:afterLines="0"/>
    </w:pPr>
    <w:rPr>
      <w:rFonts w:ascii="宋体" w:eastAsia="宋体"/>
    </w:rPr>
  </w:style>
  <w:style w:type="paragraph" w:customStyle="1" w:styleId="59">
    <w:name w:val="注：（正文）"/>
    <w:basedOn w:val="52"/>
    <w:next w:val="21"/>
    <w:uiPriority w:val="0"/>
  </w:style>
  <w:style w:type="paragraph" w:customStyle="1" w:styleId="60">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1">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2">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3">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64">
    <w:name w:val="标准书眉_偶数页"/>
    <w:basedOn w:val="39"/>
    <w:next w:val="1"/>
    <w:uiPriority w:val="0"/>
    <w:pPr>
      <w:jc w:val="left"/>
    </w:pPr>
  </w:style>
  <w:style w:type="paragraph" w:customStyle="1" w:styleId="65">
    <w:name w:val="标准书眉一"/>
    <w:uiPriority w:val="0"/>
    <w:pPr>
      <w:jc w:val="both"/>
    </w:pPr>
    <w:rPr>
      <w:rFonts w:ascii="Times New Roman" w:hAnsi="Times New Roman" w:eastAsia="宋体" w:cs="Times New Roman"/>
      <w:lang w:val="en-US" w:eastAsia="zh-CN" w:bidi="ar-SA"/>
    </w:rPr>
  </w:style>
  <w:style w:type="paragraph" w:customStyle="1" w:styleId="66">
    <w:name w:val="参考文献"/>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7">
    <w:name w:val="参考文献、索引标题"/>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发布部门"/>
    <w:next w:val="21"/>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9">
    <w:name w:val="发布日期"/>
    <w:uiPriority w:val="0"/>
    <w:rPr>
      <w:rFonts w:ascii="Times New Roman" w:hAnsi="Times New Roman" w:eastAsia="黑体" w:cs="Times New Roman"/>
      <w:sz w:val="28"/>
      <w:lang w:val="en-US" w:eastAsia="zh-CN" w:bidi="ar-SA"/>
    </w:rPr>
  </w:style>
  <w:style w:type="paragraph" w:customStyle="1" w:styleId="70">
    <w:name w:val="封面标准代替信息"/>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71">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2">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3">
    <w:name w:val="封面标准英文名称"/>
    <w:basedOn w:val="72"/>
    <w:uiPriority w:val="0"/>
    <w:pPr>
      <w:framePr w:wrap="around" w:vAnchor="margin" w:hAnchor="text" w:y="1"/>
      <w:spacing w:before="370" w:line="400" w:lineRule="exact"/>
    </w:pPr>
    <w:rPr>
      <w:rFonts w:ascii="Times New Roman"/>
      <w:sz w:val="28"/>
      <w:szCs w:val="28"/>
    </w:rPr>
  </w:style>
  <w:style w:type="paragraph" w:customStyle="1" w:styleId="74">
    <w:name w:val="封面一致性程度标识"/>
    <w:basedOn w:val="73"/>
    <w:uiPriority w:val="0"/>
    <w:pPr>
      <w:framePr/>
      <w:spacing w:before="440"/>
    </w:pPr>
    <w:rPr>
      <w:rFonts w:ascii="宋体" w:eastAsia="宋体"/>
    </w:rPr>
  </w:style>
  <w:style w:type="paragraph" w:customStyle="1" w:styleId="75">
    <w:name w:val="封面标准文稿类别"/>
    <w:basedOn w:val="74"/>
    <w:uiPriority w:val="0"/>
    <w:pPr>
      <w:framePr/>
      <w:spacing w:after="160" w:line="240" w:lineRule="auto"/>
    </w:pPr>
    <w:rPr>
      <w:sz w:val="24"/>
    </w:rPr>
  </w:style>
  <w:style w:type="paragraph" w:customStyle="1" w:styleId="76">
    <w:name w:val="封面标准文稿编辑信息"/>
    <w:basedOn w:val="75"/>
    <w:uiPriority w:val="0"/>
    <w:pPr>
      <w:framePr/>
      <w:spacing w:before="180" w:line="180" w:lineRule="exact"/>
    </w:pPr>
    <w:rPr>
      <w:sz w:val="21"/>
    </w:rPr>
  </w:style>
  <w:style w:type="paragraph" w:customStyle="1" w:styleId="77">
    <w:name w:val="封面正文"/>
    <w:uiPriority w:val="0"/>
    <w:pPr>
      <w:jc w:val="both"/>
    </w:pPr>
    <w:rPr>
      <w:rFonts w:ascii="Times New Roman" w:hAnsi="Times New Roman" w:eastAsia="宋体" w:cs="Times New Roman"/>
      <w:lang w:val="en-US" w:eastAsia="zh-CN" w:bidi="ar-SA"/>
    </w:rPr>
  </w:style>
  <w:style w:type="paragraph" w:customStyle="1" w:styleId="78">
    <w:name w:val="附录标识"/>
    <w:basedOn w:val="1"/>
    <w:next w:val="21"/>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9">
    <w:name w:val="附录标题"/>
    <w:basedOn w:val="21"/>
    <w:next w:val="21"/>
    <w:uiPriority w:val="0"/>
    <w:pPr>
      <w:ind w:firstLine="0" w:firstLineChars="0"/>
      <w:jc w:val="center"/>
    </w:pPr>
    <w:rPr>
      <w:rFonts w:ascii="黑体" w:eastAsia="黑体"/>
    </w:rPr>
  </w:style>
  <w:style w:type="paragraph" w:customStyle="1" w:styleId="80">
    <w:name w:val="附录表标号"/>
    <w:basedOn w:val="1"/>
    <w:next w:val="21"/>
    <w:uiPriority w:val="0"/>
    <w:pPr>
      <w:numPr>
        <w:ilvl w:val="0"/>
        <w:numId w:val="11"/>
      </w:numPr>
      <w:spacing w:line="14" w:lineRule="exact"/>
      <w:ind w:left="811" w:hanging="448"/>
      <w:jc w:val="center"/>
      <w:outlineLvl w:val="0"/>
    </w:pPr>
    <w:rPr>
      <w:color w:val="FFFFFF"/>
    </w:rPr>
  </w:style>
  <w:style w:type="paragraph" w:customStyle="1" w:styleId="81">
    <w:name w:val="附录表标题"/>
    <w:basedOn w:val="1"/>
    <w:next w:val="21"/>
    <w:uiPriority w:val="0"/>
    <w:pPr>
      <w:numPr>
        <w:ilvl w:val="1"/>
        <w:numId w:val="11"/>
      </w:numPr>
      <w:tabs>
        <w:tab w:val="left" w:pos="0"/>
        <w:tab w:val="left" w:pos="180"/>
      </w:tabs>
      <w:spacing w:beforeLines="50" w:afterLines="50"/>
      <w:ind w:left="0" w:firstLine="0"/>
      <w:jc w:val="center"/>
    </w:pPr>
    <w:rPr>
      <w:rFonts w:ascii="黑体" w:eastAsia="黑体"/>
      <w:szCs w:val="21"/>
    </w:rPr>
  </w:style>
  <w:style w:type="paragraph" w:customStyle="1" w:styleId="82">
    <w:name w:val="附录二级条标题"/>
    <w:basedOn w:val="1"/>
    <w:next w:val="21"/>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3">
    <w:name w:val="附录二级无"/>
    <w:basedOn w:val="82"/>
    <w:uiPriority w:val="0"/>
    <w:pPr>
      <w:tabs>
        <w:tab w:val="clear" w:pos="360"/>
      </w:tabs>
      <w:spacing w:beforeLines="0" w:afterLines="0"/>
    </w:pPr>
    <w:rPr>
      <w:rFonts w:ascii="宋体" w:eastAsia="宋体"/>
      <w:szCs w:val="21"/>
    </w:rPr>
  </w:style>
  <w:style w:type="paragraph" w:customStyle="1" w:styleId="84">
    <w:name w:val="附录公式"/>
    <w:basedOn w:val="21"/>
    <w:next w:val="21"/>
    <w:link w:val="131"/>
    <w:qFormat/>
    <w:uiPriority w:val="0"/>
  </w:style>
  <w:style w:type="paragraph" w:customStyle="1" w:styleId="85">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6">
    <w:name w:val="附录三级条标题"/>
    <w:basedOn w:val="82"/>
    <w:next w:val="21"/>
    <w:uiPriority w:val="0"/>
    <w:pPr>
      <w:numPr>
        <w:ilvl w:val="4"/>
        <w:numId w:val="10"/>
      </w:numPr>
      <w:outlineLvl w:val="4"/>
    </w:pPr>
  </w:style>
  <w:style w:type="paragraph" w:customStyle="1" w:styleId="87">
    <w:name w:val="附录三级无"/>
    <w:basedOn w:val="86"/>
    <w:uiPriority w:val="0"/>
    <w:pPr>
      <w:tabs>
        <w:tab w:val="clear" w:pos="360"/>
      </w:tabs>
      <w:spacing w:beforeLines="0" w:afterLines="0"/>
    </w:pPr>
    <w:rPr>
      <w:rFonts w:ascii="宋体" w:eastAsia="宋体"/>
      <w:szCs w:val="21"/>
    </w:rPr>
  </w:style>
  <w:style w:type="paragraph" w:customStyle="1" w:styleId="88">
    <w:name w:val="附录数字编号列项（二级）"/>
    <w:qFormat/>
    <w:uiPriority w:val="0"/>
    <w:pPr>
      <w:numPr>
        <w:ilvl w:val="1"/>
        <w:numId w:val="12"/>
      </w:numPr>
      <w:tabs>
        <w:tab w:val="left" w:pos="839"/>
      </w:tabs>
    </w:pPr>
    <w:rPr>
      <w:rFonts w:ascii="宋体" w:hAnsi="Times New Roman" w:eastAsia="宋体" w:cs="Times New Roman"/>
      <w:sz w:val="21"/>
      <w:lang w:val="en-US" w:eastAsia="zh-CN" w:bidi="ar-SA"/>
    </w:rPr>
  </w:style>
  <w:style w:type="paragraph" w:customStyle="1" w:styleId="89">
    <w:name w:val="附录四级条标题"/>
    <w:basedOn w:val="86"/>
    <w:next w:val="21"/>
    <w:uiPriority w:val="0"/>
    <w:pPr>
      <w:numPr>
        <w:ilvl w:val="5"/>
        <w:numId w:val="10"/>
      </w:numPr>
      <w:outlineLvl w:val="5"/>
    </w:pPr>
  </w:style>
  <w:style w:type="paragraph" w:customStyle="1" w:styleId="90">
    <w:name w:val="附录四级无"/>
    <w:basedOn w:val="89"/>
    <w:uiPriority w:val="0"/>
    <w:pPr>
      <w:tabs>
        <w:tab w:val="clear" w:pos="360"/>
      </w:tabs>
      <w:spacing w:beforeLines="0" w:afterLines="0"/>
    </w:pPr>
    <w:rPr>
      <w:rFonts w:ascii="宋体" w:eastAsia="宋体"/>
      <w:szCs w:val="21"/>
    </w:rPr>
  </w:style>
  <w:style w:type="paragraph" w:customStyle="1" w:styleId="91">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2">
    <w:name w:val="附录图标题"/>
    <w:basedOn w:val="1"/>
    <w:next w:val="21"/>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93">
    <w:name w:val="附录五级条标题"/>
    <w:basedOn w:val="89"/>
    <w:next w:val="21"/>
    <w:uiPriority w:val="0"/>
    <w:pPr>
      <w:numPr>
        <w:ilvl w:val="6"/>
        <w:numId w:val="10"/>
      </w:numPr>
      <w:outlineLvl w:val="6"/>
    </w:pPr>
  </w:style>
  <w:style w:type="paragraph" w:customStyle="1" w:styleId="94">
    <w:name w:val="附录五级无"/>
    <w:basedOn w:val="93"/>
    <w:uiPriority w:val="0"/>
    <w:pPr>
      <w:tabs>
        <w:tab w:val="clear" w:pos="360"/>
      </w:tabs>
      <w:spacing w:beforeLines="0" w:afterLines="0"/>
    </w:pPr>
    <w:rPr>
      <w:rFonts w:ascii="宋体" w:eastAsia="宋体"/>
      <w:szCs w:val="21"/>
    </w:rPr>
  </w:style>
  <w:style w:type="paragraph" w:customStyle="1" w:styleId="95">
    <w:name w:val="附录章标题"/>
    <w:next w:val="21"/>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6">
    <w:name w:val="附录一级条标题"/>
    <w:basedOn w:val="95"/>
    <w:next w:val="21"/>
    <w:uiPriority w:val="0"/>
    <w:pPr>
      <w:numPr>
        <w:ilvl w:val="2"/>
        <w:numId w:val="10"/>
      </w:numPr>
      <w:autoSpaceDN w:val="0"/>
      <w:spacing w:beforeLines="50" w:afterLines="50"/>
      <w:outlineLvl w:val="2"/>
    </w:pPr>
  </w:style>
  <w:style w:type="paragraph" w:customStyle="1" w:styleId="97">
    <w:name w:val="附录一级无"/>
    <w:basedOn w:val="96"/>
    <w:uiPriority w:val="0"/>
    <w:pPr>
      <w:tabs>
        <w:tab w:val="clear" w:pos="360"/>
      </w:tabs>
      <w:spacing w:beforeLines="0" w:afterLines="0"/>
    </w:pPr>
    <w:rPr>
      <w:rFonts w:ascii="宋体" w:eastAsia="宋体"/>
      <w:szCs w:val="21"/>
    </w:rPr>
  </w:style>
  <w:style w:type="paragraph" w:customStyle="1" w:styleId="98">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99">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0">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0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2">
    <w:name w:val="其他标准标志"/>
    <w:basedOn w:val="61"/>
    <w:uiPriority w:val="0"/>
    <w:pPr>
      <w:framePr w:w="6101" w:vAnchor="page" w:hAnchor="page" w:x="4673" w:y="942"/>
    </w:pPr>
    <w:rPr>
      <w:w w:val="130"/>
    </w:rPr>
  </w:style>
  <w:style w:type="paragraph" w:customStyle="1" w:styleId="103">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4">
    <w:name w:val="其他发布部门"/>
    <w:basedOn w:val="68"/>
    <w:uiPriority w:val="0"/>
    <w:pPr>
      <w:framePr w:y="15310"/>
      <w:spacing w:line="0" w:lineRule="atLeast"/>
    </w:pPr>
    <w:rPr>
      <w:rFonts w:ascii="黑体" w:eastAsia="黑体"/>
      <w:b w:val="0"/>
    </w:rPr>
  </w:style>
  <w:style w:type="paragraph" w:customStyle="1" w:styleId="105">
    <w:name w:val="前言、引言标题"/>
    <w:next w:val="21"/>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6">
    <w:name w:val="三级无"/>
    <w:basedOn w:val="46"/>
    <w:uiPriority w:val="0"/>
    <w:pPr>
      <w:spacing w:beforeLines="0" w:afterLines="0"/>
    </w:pPr>
    <w:rPr>
      <w:rFonts w:ascii="宋体" w:eastAsia="宋体"/>
    </w:rPr>
  </w:style>
  <w:style w:type="paragraph" w:customStyle="1" w:styleId="107">
    <w:name w:val="实施日期"/>
    <w:basedOn w:val="69"/>
    <w:uiPriority w:val="0"/>
    <w:pPr>
      <w:framePr w:wrap="around" w:vAnchor="page" w:hAnchor="text" w:y="1"/>
      <w:jc w:val="right"/>
    </w:pPr>
  </w:style>
  <w:style w:type="paragraph" w:customStyle="1" w:styleId="108">
    <w:name w:val="示例后文字"/>
    <w:basedOn w:val="21"/>
    <w:next w:val="21"/>
    <w:qFormat/>
    <w:uiPriority w:val="0"/>
    <w:pPr>
      <w:ind w:firstLine="360"/>
    </w:pPr>
    <w:rPr>
      <w:sz w:val="18"/>
    </w:rPr>
  </w:style>
  <w:style w:type="paragraph" w:customStyle="1" w:styleId="109">
    <w:name w:val="首示例"/>
    <w:next w:val="21"/>
    <w:link w:val="132"/>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110">
    <w:name w:val="四级无"/>
    <w:basedOn w:val="50"/>
    <w:uiPriority w:val="0"/>
    <w:pPr>
      <w:spacing w:beforeLines="0" w:afterLines="0"/>
    </w:pPr>
    <w:rPr>
      <w:rFonts w:ascii="宋体" w:eastAsia="宋体"/>
    </w:rPr>
  </w:style>
  <w:style w:type="paragraph" w:customStyle="1" w:styleId="111">
    <w:name w:val="条文脚注"/>
    <w:basedOn w:val="22"/>
    <w:uiPriority w:val="0"/>
    <w:pPr>
      <w:numPr>
        <w:ilvl w:val="0"/>
        <w:numId w:val="0"/>
      </w:numPr>
      <w:jc w:val="both"/>
    </w:pPr>
  </w:style>
  <w:style w:type="paragraph" w:customStyle="1" w:styleId="112">
    <w:name w:val="图标脚注说明"/>
    <w:basedOn w:val="21"/>
    <w:uiPriority w:val="0"/>
    <w:pPr>
      <w:ind w:left="840" w:hanging="420" w:firstLineChars="0"/>
    </w:pPr>
    <w:rPr>
      <w:sz w:val="18"/>
      <w:szCs w:val="18"/>
    </w:rPr>
  </w:style>
  <w:style w:type="paragraph" w:customStyle="1" w:styleId="113">
    <w:name w:val="图表脚注说明"/>
    <w:basedOn w:val="1"/>
    <w:uiPriority w:val="0"/>
    <w:pPr>
      <w:numPr>
        <w:ilvl w:val="0"/>
        <w:numId w:val="15"/>
      </w:numPr>
    </w:pPr>
    <w:rPr>
      <w:rFonts w:ascii="宋体"/>
      <w:sz w:val="18"/>
      <w:szCs w:val="18"/>
    </w:rPr>
  </w:style>
  <w:style w:type="paragraph" w:customStyle="1" w:styleId="114">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5">
    <w:name w:val="文献分类号"/>
    <w:uiPriority w:val="0"/>
    <w:pPr>
      <w:widowControl w:val="0"/>
      <w:textAlignment w:val="center"/>
    </w:pPr>
    <w:rPr>
      <w:rFonts w:ascii="黑体" w:hAnsi="Times New Roman" w:eastAsia="黑体" w:cs="Times New Roman"/>
      <w:sz w:val="21"/>
      <w:szCs w:val="21"/>
      <w:lang w:val="en-US" w:eastAsia="zh-CN" w:bidi="ar-SA"/>
    </w:rPr>
  </w:style>
  <w:style w:type="paragraph" w:customStyle="1" w:styleId="116">
    <w:name w:val="五级无"/>
    <w:basedOn w:val="51"/>
    <w:uiPriority w:val="0"/>
    <w:pPr>
      <w:spacing w:beforeLines="0" w:afterLines="0"/>
    </w:pPr>
    <w:rPr>
      <w:rFonts w:ascii="宋体" w:eastAsia="宋体"/>
    </w:rPr>
  </w:style>
  <w:style w:type="paragraph" w:customStyle="1" w:styleId="117">
    <w:name w:val="一级无"/>
    <w:basedOn w:val="37"/>
    <w:uiPriority w:val="0"/>
    <w:pPr>
      <w:spacing w:beforeLines="0" w:afterLines="0"/>
    </w:pPr>
    <w:rPr>
      <w:rFonts w:ascii="宋体" w:eastAsia="宋体"/>
    </w:rPr>
  </w:style>
  <w:style w:type="paragraph" w:customStyle="1" w:styleId="118">
    <w:name w:val="正文表标题"/>
    <w:next w:val="21"/>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9">
    <w:name w:val="正文公式编号制表符"/>
    <w:basedOn w:val="21"/>
    <w:next w:val="21"/>
    <w:qFormat/>
    <w:uiPriority w:val="0"/>
    <w:pPr>
      <w:ind w:firstLine="0" w:firstLineChars="0"/>
    </w:pPr>
  </w:style>
  <w:style w:type="paragraph" w:customStyle="1" w:styleId="120">
    <w:name w:val="正文图标题"/>
    <w:next w:val="21"/>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1">
    <w:name w:val="终结线"/>
    <w:basedOn w:val="1"/>
    <w:uiPriority w:val="0"/>
    <w:pPr>
      <w:framePr w:hSpace="181" w:vSpace="181" w:wrap="around" w:vAnchor="text" w:hAnchor="margin" w:xAlign="center" w:y="285"/>
    </w:pPr>
  </w:style>
  <w:style w:type="paragraph" w:customStyle="1" w:styleId="122">
    <w:name w:val="其他发布日期"/>
    <w:basedOn w:val="69"/>
    <w:uiPriority w:val="0"/>
    <w:pPr>
      <w:framePr w:wrap="around" w:vAnchor="page" w:hAnchor="text" w:x="1419" w:y="1"/>
    </w:pPr>
  </w:style>
  <w:style w:type="paragraph" w:customStyle="1" w:styleId="123">
    <w:name w:val="其他实施日期"/>
    <w:basedOn w:val="107"/>
    <w:uiPriority w:val="0"/>
    <w:pPr>
      <w:framePr/>
    </w:pPr>
  </w:style>
  <w:style w:type="paragraph" w:customStyle="1" w:styleId="124">
    <w:name w:val="封面标准名称2"/>
    <w:basedOn w:val="72"/>
    <w:uiPriority w:val="0"/>
    <w:pPr>
      <w:framePr w:wrap="around" w:vAnchor="margin" w:hAnchor="text" w:y="4469"/>
      <w:spacing w:beforeLines="630"/>
    </w:pPr>
  </w:style>
  <w:style w:type="paragraph" w:customStyle="1" w:styleId="125">
    <w:name w:val="封面标准英文名称2"/>
    <w:basedOn w:val="73"/>
    <w:uiPriority w:val="0"/>
    <w:pPr>
      <w:framePr w:y="4469"/>
    </w:pPr>
  </w:style>
  <w:style w:type="paragraph" w:customStyle="1" w:styleId="126">
    <w:name w:val="封面一致性程度标识2"/>
    <w:basedOn w:val="74"/>
    <w:uiPriority w:val="0"/>
    <w:pPr>
      <w:framePr w:y="4469"/>
    </w:pPr>
  </w:style>
  <w:style w:type="paragraph" w:customStyle="1" w:styleId="127">
    <w:name w:val="封面标准文稿类别2"/>
    <w:basedOn w:val="75"/>
    <w:uiPriority w:val="0"/>
    <w:pPr>
      <w:framePr w:y="4469"/>
    </w:pPr>
  </w:style>
  <w:style w:type="paragraph" w:customStyle="1" w:styleId="128">
    <w:name w:val="封面标准文稿编辑信息2"/>
    <w:basedOn w:val="76"/>
    <w:uiPriority w:val="0"/>
    <w:pPr>
      <w:framePr w:y="4469"/>
    </w:pPr>
  </w:style>
  <w:style w:type="character" w:customStyle="1" w:styleId="129">
    <w:name w:val="段 Char"/>
    <w:link w:val="21"/>
    <w:uiPriority w:val="0"/>
    <w:rPr>
      <w:rFonts w:ascii="宋体"/>
      <w:sz w:val="21"/>
      <w:lang w:val="en-US" w:eastAsia="zh-CN" w:bidi="ar-SA"/>
    </w:rPr>
  </w:style>
  <w:style w:type="character" w:customStyle="1" w:styleId="130">
    <w:name w:val="发布"/>
    <w:uiPriority w:val="0"/>
    <w:rPr>
      <w:rFonts w:ascii="黑体" w:eastAsia="黑体"/>
      <w:spacing w:val="85"/>
      <w:w w:val="100"/>
      <w:position w:val="3"/>
      <w:sz w:val="28"/>
      <w:szCs w:val="28"/>
    </w:rPr>
  </w:style>
  <w:style w:type="character" w:customStyle="1" w:styleId="131">
    <w:name w:val="附录公式 Char"/>
    <w:basedOn w:val="129"/>
    <w:link w:val="84"/>
    <w:uiPriority w:val="0"/>
    <w:rPr>
      <w:rFonts w:ascii="宋体"/>
      <w:sz w:val="21"/>
      <w:lang w:val="en-US" w:eastAsia="zh-CN" w:bidi="ar-SA"/>
    </w:rPr>
  </w:style>
  <w:style w:type="character" w:customStyle="1" w:styleId="132">
    <w:name w:val="首示例 Char"/>
    <w:link w:val="109"/>
    <w:uiPriority w:val="0"/>
    <w:rPr>
      <w:rFonts w:ascii="宋体" w:hAnsi="宋体"/>
      <w:kern w:val="2"/>
      <w:sz w:val="18"/>
      <w:szCs w:val="18"/>
    </w:rPr>
  </w:style>
  <w:style w:type="character" w:customStyle="1" w:styleId="133">
    <w:name w:val="批注框文本 字符"/>
    <w:basedOn w:val="29"/>
    <w:link w:val="14"/>
    <w:uiPriority w:val="0"/>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ongwei\Desktop\181217 &#24535;&#24895;&#26381;&#21153;&#32452;&#32455;&#22522;&#26412;&#35268;&#33539;-&#36865;&#23457;&#312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181217 志愿服务组织基本规范-送审稿.dot</Template>
  <Pages>20</Pages>
  <Words>1917</Words>
  <Characters>10932</Characters>
  <Lines>91</Lines>
  <Paragraphs>25</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2018-12-17T06:43:00Z</dcterms:created>
  <dcterms:modified xsi:type="dcterms:W3CDTF">2019-06-12T00:22:35Z</dcterms:modified>
  <dc:title>标准名称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