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全国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性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脱钩改革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完成情况表</w:t>
      </w:r>
    </w:p>
    <w:p>
      <w:pPr>
        <w:jc w:val="center"/>
        <w:rPr>
          <w:rFonts w:ascii="Times New Roman" w:hAnsi="Times New Roman" w:eastAsia="楷体" w:cs="Times New Roman"/>
          <w:bCs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t>(参加</w:t>
      </w:r>
      <w:r>
        <w:rPr>
          <w:rFonts w:hint="eastAsia" w:ascii="Times New Roman" w:hAnsi="Times New Roman" w:eastAsia="楷体_GB2312" w:cs="Times New Roman"/>
          <w:bCs/>
          <w:sz w:val="28"/>
          <w:szCs w:val="28"/>
          <w:lang w:eastAsia="zh-CN"/>
        </w:rPr>
        <w:t>脱钩的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全国性行业协会商会填写、业务主管单位审核）</w:t>
      </w:r>
    </w:p>
    <w:p>
      <w:pPr>
        <w:ind w:left="-617" w:leftChars="-294" w:firstLine="618" w:firstLineChars="22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填表人：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宋体" w:cs="Times New Roman"/>
          <w:bCs/>
          <w:sz w:val="28"/>
          <w:szCs w:val="28"/>
        </w:rPr>
        <w:t>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宋体" w:cs="Times New Roman"/>
          <w:bCs/>
          <w:sz w:val="28"/>
          <w:szCs w:val="28"/>
        </w:rPr>
        <w:t>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业务主管单位（司局盖章）：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宋体" w:cs="Times New Roman"/>
          <w:bCs/>
          <w:sz w:val="28"/>
          <w:szCs w:val="28"/>
        </w:rPr>
        <w:t>联系人：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（一）基本信息情况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880"/>
        <w:gridCol w:w="1590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名  称     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理事长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秘书长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住所地址</w:t>
            </w:r>
          </w:p>
        </w:tc>
        <w:tc>
          <w:tcPr>
            <w:tcW w:w="8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rPr>
          <w:rFonts w:ascii="Times New Roman" w:hAnsi="宋体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（二）机构分离情况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305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代管事业单位的脱钩情况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□并入行业协会商会，核销事业编制（  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□划转（           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暂不分离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与其他行业协会商会、社会组织代管协管挂靠关系的脱钩情况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□按自愿互惠原则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保留不变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进行调整，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调整后情况填一下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并纳入章程予以规范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□未完成脱钩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与行政机关或者事业单位合署办公的脱钩情况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□机构分离情况：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□人员分离情况：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□资产分离情况：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□未完成脱钩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2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与其他行政机关或参公管理单位的联系挂靠关系取消情况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涉及联系挂靠单位的脱钩事项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（三）职能分离情况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7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法律法规规定情形之外行业协会商会行使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行政机关法定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行政职能的脱钩情况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□已移交有关部门（   ）项，分别为：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□未完成移交（   ）项，分别为：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脱钩后有关部门向行业协会商会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委托或者购买服务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事项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共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（    ）项事项，具体清单目录为：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（四）资产财务分离情况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50"/>
        <w:gridCol w:w="2085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脱钩后执行会计制度情况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□《民间非营利组织会计制度》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□其他会计制度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脱钩后单独开立银行账户情况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□单独开立账户，开户行、开户名称及账号为：（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□未单独开立账户，与何单位共用（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脱钩后单独建账、独立核算情况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□已单独建账、独立核算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□未单独建账、独立核算，账务挂靠在何单位（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脱钩后财政预算资金处理方式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□预算资金额度（  ）万元，具体处理方式（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脱钩后承接政府购买服务情况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□未承接政府购买服务事项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□承接政府购买服务事项（   ）项，资金（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使用行政办公用房脱钩情况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□符合核定面积（     ）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㎡，脱钩后具体处理方式（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清理腾退超出核定面积（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）㎡，签订书面移交协议（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□是□否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2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脱钩后固定资产</w:t>
            </w: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国有（  ）万元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脱钩后流动资产</w:t>
            </w:r>
          </w:p>
        </w:tc>
        <w:tc>
          <w:tcPr>
            <w:tcW w:w="3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国有（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其他（  ）万元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3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其他（  ）万元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（五）人员管理分离情况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677"/>
        <w:gridCol w:w="583"/>
        <w:gridCol w:w="2882"/>
        <w:gridCol w:w="179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工作人员数</w:t>
            </w: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专职人员（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）人，其中事业编制人数（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现职和不担任现职但未办理退（离）休手续</w:t>
            </w:r>
            <w:r>
              <w:rPr>
                <w:rFonts w:ascii="Times New Roman" w:hAnsi="Times New Roman" w:eastAsia="仿宋_GB2312" w:cs="Times New Roman"/>
                <w:bCs/>
                <w:sz w:val="24"/>
                <w:highlight w:val="none"/>
              </w:rPr>
              <w:t>的公务员在行业协会商会兼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职任职的脱钩情况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脱钩后退出行业协会商会工作（  ）人次，其中党和国家领导人（ ）人次、省部级（  ）人次、地厅级（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脱钩后留在行业协会商会工作，退出公务员管理（ ）人次，其中党和国家领导人（ ）人次、省部级（  ）人次、地厅级（  ）人次，其他（ ）人次。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退（离）休领导干部在行业协会商会兼职的脱钩情况</w:t>
            </w: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脱钩后退出兼任职（  ）人次，其中党和国家领导人（ ）人次、省部级（  ）人次、地厅级（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脱钩后，继续兼任职（  ）人次，其中党和国家领导人（ ）人次、省部级（  ）人次、地厅级（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事业编制脱钩情况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□脱钩后核销事业编制（  ）个，保留事业编制（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现职和不担任现职但未办理退（离）休手续的公务员情况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兼任行业协会商会职务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单 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 务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9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退（离）休领导干部情况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兼任行业协会商会职务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原单位和职务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退（离）休时间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（六）党建分离情况</w:t>
      </w:r>
    </w:p>
    <w:tbl>
      <w:tblPr>
        <w:tblStyle w:val="3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661"/>
        <w:gridCol w:w="2923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党组织建立情况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党员人数</w:t>
            </w:r>
          </w:p>
        </w:tc>
        <w:tc>
          <w:tcPr>
            <w:tcW w:w="5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党的关系归口管理部门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□党委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□党总支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□党支部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□临时党组织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□联合党支部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□未建立党组织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（七）外事分离情况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6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外事审批权脱钩情况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□取消外事审批权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目前仍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保留外事审批权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脱钩前外事管理机关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脱钩后外事管理机关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color w:val="0000FF"/>
          <w:sz w:val="24"/>
        </w:rPr>
      </w:pPr>
      <w:r>
        <w:rPr>
          <w:rFonts w:ascii="Times New Roman" w:hAnsi="宋体" w:cs="Times New Roman"/>
          <w:b/>
          <w:sz w:val="28"/>
          <w:szCs w:val="28"/>
        </w:rPr>
        <w:t>（八）举办报纸期刊杂志情况</w:t>
      </w:r>
    </w:p>
    <w:tbl>
      <w:tblPr>
        <w:tblStyle w:val="3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870"/>
        <w:gridCol w:w="1500"/>
        <w:gridCol w:w="1500"/>
        <w:gridCol w:w="142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名称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刊号      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主管单位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</w:t>
            </w:r>
          </w:p>
        </w:tc>
        <w:tc>
          <w:tcPr>
            <w:tcW w:w="2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（九）脱钩后变更登记和备案手续办理情况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975"/>
        <w:gridCol w:w="540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脱钩后业务范围是否发生变化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脱钩后住所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是否有变化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脱钩后注册资金是否发生变化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脱钩后法定代表人是否发生变动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脱钩后章程是否修改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如选是，是否按法定程序办理章程核准手续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脱钩后负责人是否发生变动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如选是，是否按法定程序办理变更备案手续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</w:tbl>
    <w:p>
      <w:pPr>
        <w:rPr>
          <w:rFonts w:ascii="Times New Roman" w:hAnsi="Times New Roman" w:eastAsia="楷体" w:cs="Times New Roman"/>
          <w:b/>
          <w:bCs/>
          <w:spacing w:val="-26"/>
          <w:sz w:val="32"/>
          <w:szCs w:val="32"/>
        </w:rPr>
      </w:pPr>
    </w:p>
    <w:p>
      <w:pPr>
        <w:rPr>
          <w:rFonts w:ascii="Times New Roman" w:hAnsi="Times New Roman" w:eastAsia="楷体" w:cs="Times New Roman"/>
          <w:b/>
          <w:bCs/>
          <w:spacing w:val="-26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E4C26"/>
    <w:rsid w:val="43B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2019-06-21T04:02:00Z</dcterms:created>
  <dc:creator>肥珍</dc:creator>
  <cp:lastModifiedBy>肥珍</cp:lastModifiedBy>
  <dcterms:modified xsi:type="dcterms:W3CDTF">2019-06-21T04:02:19Z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