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Toc7165468"/>
      <w:bookmarkStart w:id="1" w:name="_GoBack"/>
      <w:bookmarkEnd w:id="1"/>
    </w:p>
    <w:p>
      <w:pPr>
        <w:pStyle w:val="2"/>
      </w:pPr>
      <w:r>
        <w:rPr>
          <w:rFonts w:hint="eastAsia"/>
        </w:rPr>
        <w:t>步行街改造提升评价指标</w:t>
      </w:r>
      <w:r>
        <w:t>（</w:t>
      </w:r>
      <w:r>
        <w:rPr>
          <w:rFonts w:ascii="Times New Roman" w:hAnsi="Times New Roman"/>
        </w:rPr>
        <w:t>2019</w:t>
      </w:r>
      <w:r>
        <w:rPr>
          <w:rFonts w:hint="eastAsia"/>
        </w:rPr>
        <w:t>版</w:t>
      </w:r>
      <w:r>
        <w:t>）</w:t>
      </w:r>
      <w:bookmarkEnd w:id="0"/>
    </w:p>
    <w:p>
      <w:pPr>
        <w:widowControl/>
        <w:jc w:val="left"/>
        <w:rPr>
          <w:rFonts w:ascii="黑体" w:hAnsi="黑体" w:eastAsia="黑体"/>
          <w:b/>
          <w:sz w:val="24"/>
        </w:rPr>
      </w:pPr>
    </w:p>
    <w:tbl>
      <w:tblPr>
        <w:tblpPr w:leftFromText="180" w:rightFromText="180" w:vertAnchor="text" w:tblpXSpec="center" w:tblpY="1"/>
        <w:tblOverlap w:val="never"/>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8"/>
        <w:gridCol w:w="1032"/>
        <w:gridCol w:w="5769"/>
        <w:gridCol w:w="74"/>
        <w:gridCol w:w="6761"/>
      </w:tblGrid>
      <w:tr>
        <w:trPr>
          <w:trHeight w:val="560" w:hRule="atLeast"/>
          <w:tblHeader/>
        </w:trPr>
        <w:tc>
          <w:tcPr>
            <w:tcW w:w="14174" w:type="dxa"/>
            <w:gridSpan w:val="5"/>
            <w:tcBorders>
              <w:bottom w:val="single" w:color="auto" w:sz="4" w:space="0"/>
            </w:tcBorders>
            <w:shd w:val="clear" w:color="auto" w:fill="F2F2F2"/>
            <w:vAlign w:val="center"/>
          </w:tcPr>
          <w:p>
            <w:pPr>
              <w:widowControl/>
              <w:jc w:val="left"/>
              <w:rPr>
                <w:rFonts w:ascii="宋体" w:hAnsi="宋体"/>
                <w:sz w:val="18"/>
                <w:szCs w:val="18"/>
              </w:rPr>
            </w:pPr>
            <w:r>
              <w:rPr>
                <w:rFonts w:hint="eastAsia" w:ascii="黑体" w:hAnsi="黑体" w:eastAsia="黑体"/>
                <w:b/>
                <w:sz w:val="24"/>
              </w:rPr>
              <w:t>一、规划布局（160分）</w:t>
            </w:r>
          </w:p>
        </w:tc>
      </w:tr>
      <w:tr>
        <w:trPr>
          <w:trHeight w:val="410" w:hRule="atLeast"/>
          <w:tblHeader/>
        </w:trPr>
        <w:tc>
          <w:tcPr>
            <w:tcW w:w="1570" w:type="dxa"/>
            <w:gridSpan w:val="2"/>
            <w:vAlign w:val="center"/>
          </w:tcPr>
          <w:p>
            <w:pPr>
              <w:widowControl/>
              <w:jc w:val="center"/>
              <w:rPr>
                <w:rFonts w:ascii="黑体" w:hAnsi="黑体" w:eastAsia="黑体"/>
                <w:kern w:val="0"/>
                <w:szCs w:val="21"/>
              </w:rPr>
            </w:pPr>
            <w:r>
              <w:rPr>
                <w:rFonts w:hint="eastAsia" w:ascii="黑体" w:hAnsi="黑体" w:eastAsia="黑体"/>
                <w:kern w:val="0"/>
                <w:szCs w:val="21"/>
              </w:rPr>
              <w:t>评分指标</w:t>
            </w:r>
          </w:p>
        </w:tc>
        <w:tc>
          <w:tcPr>
            <w:tcW w:w="5769" w:type="dxa"/>
            <w:vAlign w:val="center"/>
          </w:tcPr>
          <w:p>
            <w:pPr>
              <w:widowControl/>
              <w:jc w:val="center"/>
              <w:rPr>
                <w:rFonts w:ascii="黑体" w:hAnsi="黑体" w:eastAsia="黑体"/>
                <w:kern w:val="0"/>
                <w:szCs w:val="21"/>
              </w:rPr>
            </w:pPr>
            <w:r>
              <w:rPr>
                <w:rFonts w:hint="eastAsia" w:ascii="黑体" w:hAnsi="黑体" w:eastAsia="黑体"/>
                <w:kern w:val="0"/>
                <w:szCs w:val="21"/>
              </w:rPr>
              <w:t>评分标准</w:t>
            </w:r>
          </w:p>
        </w:tc>
        <w:tc>
          <w:tcPr>
            <w:tcW w:w="6835" w:type="dxa"/>
            <w:gridSpan w:val="2"/>
            <w:vAlign w:val="center"/>
          </w:tcPr>
          <w:p>
            <w:pPr>
              <w:widowControl/>
              <w:jc w:val="center"/>
              <w:rPr>
                <w:rFonts w:ascii="黑体" w:hAnsi="黑体" w:eastAsia="黑体"/>
                <w:kern w:val="0"/>
                <w:szCs w:val="21"/>
              </w:rPr>
            </w:pPr>
            <w:r>
              <w:rPr>
                <w:rFonts w:hint="eastAsia" w:ascii="黑体" w:hAnsi="黑体" w:eastAsia="黑体"/>
                <w:kern w:val="0"/>
                <w:szCs w:val="21"/>
              </w:rPr>
              <w:t>评分说明</w:t>
            </w:r>
          </w:p>
        </w:tc>
      </w:tr>
      <w:tr>
        <w:trPr>
          <w:trHeight w:val="1115" w:hRule="atLeast"/>
        </w:trPr>
        <w:tc>
          <w:tcPr>
            <w:tcW w:w="1570" w:type="dxa"/>
            <w:gridSpan w:val="2"/>
            <w:vMerge w:val="restart"/>
            <w:vAlign w:val="center"/>
          </w:tcPr>
          <w:p>
            <w:pPr>
              <w:widowControl/>
              <w:jc w:val="center"/>
              <w:rPr>
                <w:rFonts w:ascii="宋体" w:hAnsi="宋体"/>
                <w:b/>
                <w:kern w:val="0"/>
                <w:sz w:val="18"/>
                <w:szCs w:val="18"/>
              </w:rPr>
            </w:pPr>
            <w:r>
              <w:rPr>
                <w:rFonts w:hint="eastAsia" w:ascii="宋体" w:hAnsi="宋体"/>
                <w:b/>
                <w:kern w:val="0"/>
                <w:sz w:val="18"/>
                <w:szCs w:val="18"/>
              </w:rPr>
              <w:t>规划科学</w:t>
            </w:r>
          </w:p>
          <w:p>
            <w:pPr>
              <w:widowControl/>
              <w:jc w:val="center"/>
              <w:rPr>
                <w:rFonts w:ascii="宋体" w:hAnsi="宋体"/>
                <w:b/>
                <w:kern w:val="0"/>
                <w:sz w:val="18"/>
                <w:szCs w:val="18"/>
              </w:rPr>
            </w:pPr>
            <w:r>
              <w:rPr>
                <w:rFonts w:hint="eastAsia" w:ascii="宋体" w:hAnsi="宋体"/>
                <w:b/>
                <w:kern w:val="0"/>
                <w:sz w:val="18"/>
                <w:szCs w:val="18"/>
              </w:rPr>
              <w:t>（50分）</w:t>
            </w:r>
          </w:p>
        </w:tc>
        <w:tc>
          <w:tcPr>
            <w:tcW w:w="5769" w:type="dxa"/>
            <w:vAlign w:val="center"/>
          </w:tcPr>
          <w:p>
            <w:pPr>
              <w:rPr>
                <w:rFonts w:ascii="宋体" w:hAnsi="宋体"/>
                <w:i/>
                <w:kern w:val="0"/>
                <w:sz w:val="18"/>
                <w:szCs w:val="18"/>
              </w:rPr>
            </w:pPr>
            <w:r>
              <w:rPr>
                <w:rFonts w:hint="eastAsia" w:ascii="宋体" w:hAnsi="宋体"/>
                <w:kern w:val="0"/>
                <w:sz w:val="18"/>
                <w:szCs w:val="18"/>
              </w:rPr>
              <w:t>编制步行街改造提升规划，深入研究街区景观提升、业态优化、交通组织等专项内容。（30分）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有步行街改造提升总体规划，并经当地人民政府审批通过，得15分。</w:t>
            </w:r>
          </w:p>
          <w:p>
            <w:pPr>
              <w:widowControl/>
              <w:jc w:val="left"/>
              <w:rPr>
                <w:rFonts w:ascii="宋体" w:hAnsi="宋体"/>
                <w:kern w:val="0"/>
                <w:sz w:val="18"/>
                <w:szCs w:val="18"/>
              </w:rPr>
            </w:pPr>
            <w:r>
              <w:rPr>
                <w:rFonts w:hint="eastAsia" w:ascii="宋体" w:hAnsi="宋体"/>
                <w:kern w:val="0"/>
                <w:sz w:val="18"/>
                <w:szCs w:val="18"/>
              </w:rPr>
              <w:t>有街区景观提升、业态优化、交通组织等专项规划或专题研究成果，有一项得5分，最多得15分。</w:t>
            </w:r>
          </w:p>
        </w:tc>
      </w:tr>
      <w:tr>
        <w:trPr>
          <w:trHeight w:val="989" w:hRule="atLeast"/>
        </w:trPr>
        <w:tc>
          <w:tcPr>
            <w:tcW w:w="1570" w:type="dxa"/>
            <w:gridSpan w:val="2"/>
            <w:vMerge w:val="continue"/>
            <w:vAlign w:val="center"/>
          </w:tcPr>
          <w:p>
            <w:pPr>
              <w:widowControl/>
              <w:jc w:val="center"/>
              <w:rPr>
                <w:rFonts w:ascii="宋体" w:hAnsi="宋体"/>
                <w:b/>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定位明确、目标清晰，符合消费升级、高质量发展和对外开放的要求，反映改造提升的经济和社会效益。（10分）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专家组评估，根据步行街定位是否明确，特色是否突出，最多得5分。</w:t>
            </w:r>
          </w:p>
          <w:p>
            <w:pPr>
              <w:widowControl/>
              <w:jc w:val="left"/>
              <w:rPr>
                <w:rFonts w:ascii="宋体" w:hAnsi="宋体"/>
                <w:kern w:val="0"/>
                <w:sz w:val="18"/>
                <w:szCs w:val="18"/>
              </w:rPr>
            </w:pPr>
            <w:r>
              <w:rPr>
                <w:rFonts w:hint="eastAsia" w:ascii="宋体" w:hAnsi="宋体"/>
                <w:kern w:val="0"/>
                <w:sz w:val="18"/>
                <w:szCs w:val="18"/>
              </w:rPr>
              <w:t>有明确的经济效益和社会效益总体目标，得2分。</w:t>
            </w:r>
          </w:p>
          <w:p>
            <w:pPr>
              <w:widowControl/>
              <w:jc w:val="left"/>
              <w:rPr>
                <w:rFonts w:ascii="宋体" w:hAnsi="宋体"/>
                <w:kern w:val="0"/>
                <w:sz w:val="18"/>
                <w:szCs w:val="18"/>
              </w:rPr>
            </w:pPr>
            <w:r>
              <w:rPr>
                <w:rFonts w:hint="eastAsia" w:ascii="宋体" w:hAnsi="宋体"/>
                <w:kern w:val="0"/>
                <w:sz w:val="18"/>
                <w:szCs w:val="18"/>
              </w:rPr>
              <w:t>有明确的经济效益和社会效益近三年分年度发展目标，得3分。</w:t>
            </w:r>
          </w:p>
        </w:tc>
      </w:tr>
      <w:tr>
        <w:trPr>
          <w:trHeight w:val="1130" w:hRule="atLeast"/>
        </w:trPr>
        <w:tc>
          <w:tcPr>
            <w:tcW w:w="1570" w:type="dxa"/>
            <w:gridSpan w:val="2"/>
            <w:vMerge w:val="continue"/>
            <w:vAlign w:val="center"/>
          </w:tcPr>
          <w:p>
            <w:pPr>
              <w:widowControl/>
              <w:jc w:val="center"/>
              <w:rPr>
                <w:rFonts w:ascii="宋体" w:hAnsi="宋体"/>
                <w:b/>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“四至”范围明确，功能分区合理，主街突出、辅街协调、功能互补。（10分）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总体规划编制成果中有街区总平面图，得5分。</w:t>
            </w:r>
          </w:p>
          <w:p>
            <w:pPr>
              <w:widowControl/>
              <w:jc w:val="left"/>
              <w:rPr>
                <w:rFonts w:ascii="宋体" w:hAnsi="宋体"/>
                <w:kern w:val="0"/>
                <w:sz w:val="18"/>
                <w:szCs w:val="18"/>
              </w:rPr>
            </w:pPr>
            <w:r>
              <w:rPr>
                <w:rFonts w:hint="eastAsia" w:ascii="宋体" w:hAnsi="宋体"/>
                <w:kern w:val="0"/>
                <w:sz w:val="18"/>
                <w:szCs w:val="18"/>
              </w:rPr>
              <w:t>总平面图清楚标注“四至”范围（2分）、功能分区（2分）、主街和辅街（1分），得5分。</w:t>
            </w:r>
          </w:p>
        </w:tc>
      </w:tr>
      <w:tr>
        <w:trPr>
          <w:trHeight w:val="693" w:hRule="atLeast"/>
        </w:trPr>
        <w:tc>
          <w:tcPr>
            <w:tcW w:w="1570" w:type="dxa"/>
            <w:gridSpan w:val="2"/>
            <w:vMerge w:val="restart"/>
            <w:vAlign w:val="center"/>
          </w:tcPr>
          <w:p>
            <w:pPr>
              <w:widowControl/>
              <w:jc w:val="center"/>
              <w:rPr>
                <w:rFonts w:ascii="宋体" w:hAnsi="宋体"/>
                <w:b/>
                <w:kern w:val="0"/>
                <w:sz w:val="18"/>
                <w:szCs w:val="18"/>
              </w:rPr>
            </w:pPr>
            <w:r>
              <w:rPr>
                <w:rFonts w:hint="eastAsia" w:ascii="宋体" w:hAnsi="宋体"/>
                <w:b/>
                <w:kern w:val="0"/>
                <w:sz w:val="18"/>
                <w:szCs w:val="18"/>
              </w:rPr>
              <w:t>空间开阔</w:t>
            </w:r>
          </w:p>
          <w:p>
            <w:pPr>
              <w:widowControl/>
              <w:jc w:val="center"/>
              <w:rPr>
                <w:rFonts w:ascii="宋体" w:hAnsi="宋体"/>
                <w:b/>
                <w:kern w:val="0"/>
                <w:sz w:val="18"/>
                <w:szCs w:val="18"/>
              </w:rPr>
            </w:pPr>
            <w:r>
              <w:rPr>
                <w:rFonts w:hint="eastAsia" w:ascii="宋体" w:hAnsi="宋体"/>
                <w:b/>
                <w:kern w:val="0"/>
                <w:sz w:val="18"/>
                <w:szCs w:val="18"/>
              </w:rPr>
              <w:t>（50分）</w:t>
            </w:r>
          </w:p>
        </w:tc>
        <w:tc>
          <w:tcPr>
            <w:tcW w:w="5769" w:type="dxa"/>
            <w:vAlign w:val="center"/>
          </w:tcPr>
          <w:p>
            <w:pPr>
              <w:rPr>
                <w:rFonts w:ascii="宋体" w:hAnsi="宋体"/>
                <w:kern w:val="0"/>
                <w:sz w:val="18"/>
                <w:szCs w:val="18"/>
              </w:rPr>
            </w:pPr>
            <w:r>
              <w:rPr>
                <w:rFonts w:hint="eastAsia" w:ascii="宋体" w:hAnsi="宋体"/>
                <w:kern w:val="0"/>
                <w:sz w:val="18"/>
                <w:szCs w:val="18"/>
              </w:rPr>
              <w:t>纯步行长度1000米（含）以上。（20分）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步行街主街长度1000米（含）以上，得20分；500米（含）-1000米，得10分；300米（含）-500米，得5分。</w:t>
            </w:r>
          </w:p>
        </w:tc>
      </w:tr>
      <w:tr>
        <w:trPr>
          <w:trHeight w:val="454" w:hRule="atLeast"/>
        </w:trPr>
        <w:tc>
          <w:tcPr>
            <w:tcW w:w="1570" w:type="dxa"/>
            <w:gridSpan w:val="2"/>
            <w:vMerge w:val="continue"/>
            <w:vAlign w:val="center"/>
          </w:tcPr>
          <w:p>
            <w:pPr>
              <w:widowControl/>
              <w:jc w:val="center"/>
              <w:rPr>
                <w:rFonts w:ascii="宋体" w:hAnsi="宋体"/>
                <w:b/>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占地面积100公顷（含）以上。（10分）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“四至”范围内占地面积100公顷（含）以上，得10分；50（含）-100公顷，得8分；20（含）-50公顷，得5分；20公顷以下，得2分。</w:t>
            </w:r>
          </w:p>
        </w:tc>
      </w:tr>
      <w:tr>
        <w:trPr>
          <w:trHeight w:val="454" w:hRule="atLeast"/>
        </w:trPr>
        <w:tc>
          <w:tcPr>
            <w:tcW w:w="1570" w:type="dxa"/>
            <w:gridSpan w:val="2"/>
            <w:vMerge w:val="continue"/>
            <w:tcBorders>
              <w:bottom w:val="single" w:color="auto" w:sz="4" w:space="0"/>
            </w:tcBorders>
            <w:vAlign w:val="center"/>
          </w:tcPr>
          <w:p>
            <w:pPr>
              <w:widowControl/>
              <w:jc w:val="center"/>
              <w:rPr>
                <w:rFonts w:ascii="宋体" w:hAnsi="宋体"/>
                <w:b/>
                <w:kern w:val="0"/>
                <w:sz w:val="18"/>
                <w:szCs w:val="18"/>
              </w:rPr>
            </w:pPr>
          </w:p>
        </w:tc>
        <w:tc>
          <w:tcPr>
            <w:tcW w:w="5769" w:type="dxa"/>
            <w:tcBorders>
              <w:bottom w:val="single" w:color="auto" w:sz="4" w:space="0"/>
            </w:tcBorders>
            <w:vAlign w:val="center"/>
          </w:tcPr>
          <w:p>
            <w:pPr>
              <w:rPr>
                <w:rFonts w:ascii="宋体" w:hAnsi="宋体"/>
                <w:kern w:val="0"/>
                <w:sz w:val="18"/>
                <w:szCs w:val="18"/>
              </w:rPr>
            </w:pPr>
            <w:r>
              <w:rPr>
                <w:rFonts w:hint="eastAsia" w:ascii="宋体" w:hAnsi="宋体"/>
                <w:kern w:val="0"/>
                <w:sz w:val="18"/>
                <w:szCs w:val="18"/>
              </w:rPr>
              <w:t>商业建筑面积50万平方米（含）以上（综合型）或20万平方米（含）以上（特色型）。（20分）</w:t>
            </w:r>
          </w:p>
        </w:tc>
        <w:tc>
          <w:tcPr>
            <w:tcW w:w="6835" w:type="dxa"/>
            <w:gridSpan w:val="2"/>
            <w:tcBorders>
              <w:bottom w:val="single" w:color="auto" w:sz="4" w:space="0"/>
            </w:tcBorders>
            <w:vAlign w:val="center"/>
          </w:tcPr>
          <w:p>
            <w:pPr>
              <w:widowControl/>
              <w:jc w:val="left"/>
              <w:rPr>
                <w:rFonts w:ascii="宋体" w:hAnsi="宋体"/>
                <w:kern w:val="0"/>
                <w:sz w:val="18"/>
                <w:szCs w:val="18"/>
              </w:rPr>
            </w:pPr>
            <w:r>
              <w:rPr>
                <w:rFonts w:hint="eastAsia" w:ascii="宋体" w:hAnsi="宋体"/>
                <w:b/>
                <w:kern w:val="0"/>
                <w:sz w:val="18"/>
                <w:szCs w:val="18"/>
              </w:rPr>
              <w:t>综合型</w:t>
            </w:r>
            <w:r>
              <w:rPr>
                <w:rFonts w:hint="eastAsia" w:ascii="宋体" w:hAnsi="宋体"/>
                <w:kern w:val="0"/>
                <w:sz w:val="18"/>
                <w:szCs w:val="18"/>
              </w:rPr>
              <w:t>：用于商业经营的商业建筑面积50万平方米（含）以上，得20分；30（含）-50万平方米，得10分；10（含）-30万平方米，得5分。</w:t>
            </w:r>
          </w:p>
          <w:p>
            <w:pPr>
              <w:widowControl/>
              <w:jc w:val="left"/>
              <w:rPr>
                <w:rFonts w:ascii="宋体" w:hAnsi="宋体"/>
                <w:kern w:val="0"/>
                <w:sz w:val="18"/>
                <w:szCs w:val="18"/>
              </w:rPr>
            </w:pPr>
            <w:r>
              <w:rPr>
                <w:rFonts w:hint="eastAsia" w:ascii="宋体" w:hAnsi="宋体"/>
                <w:b/>
                <w:kern w:val="0"/>
                <w:sz w:val="18"/>
                <w:szCs w:val="18"/>
              </w:rPr>
              <w:t>特色型</w:t>
            </w:r>
            <w:r>
              <w:rPr>
                <w:rFonts w:hint="eastAsia" w:ascii="宋体" w:hAnsi="宋体"/>
                <w:kern w:val="0"/>
                <w:sz w:val="18"/>
                <w:szCs w:val="18"/>
              </w:rPr>
              <w:t>：用于商业经营的商业建筑面积20万（含）平方米以上，得20分；10（含）-20万平方米，得10分；5（含）-10万平方米，得5分。</w:t>
            </w:r>
          </w:p>
        </w:tc>
      </w:tr>
      <w:tr>
        <w:trPr>
          <w:trHeight w:val="419" w:hRule="atLeast"/>
          <w:tblHeader/>
        </w:trPr>
        <w:tc>
          <w:tcPr>
            <w:tcW w:w="1570" w:type="dxa"/>
            <w:gridSpan w:val="2"/>
            <w:vAlign w:val="center"/>
          </w:tcPr>
          <w:p>
            <w:pPr>
              <w:widowControl/>
              <w:jc w:val="center"/>
              <w:rPr>
                <w:rFonts w:ascii="黑体" w:hAnsi="黑体" w:eastAsia="黑体"/>
                <w:kern w:val="0"/>
                <w:szCs w:val="21"/>
              </w:rPr>
            </w:pPr>
            <w:r>
              <w:rPr>
                <w:rFonts w:hint="eastAsia" w:ascii="黑体" w:hAnsi="黑体" w:eastAsia="黑体"/>
                <w:kern w:val="0"/>
                <w:szCs w:val="21"/>
              </w:rPr>
              <w:t>评分指标</w:t>
            </w:r>
          </w:p>
        </w:tc>
        <w:tc>
          <w:tcPr>
            <w:tcW w:w="5769" w:type="dxa"/>
            <w:vAlign w:val="center"/>
          </w:tcPr>
          <w:p>
            <w:pPr>
              <w:widowControl/>
              <w:jc w:val="center"/>
              <w:rPr>
                <w:rFonts w:ascii="黑体" w:hAnsi="黑体" w:eastAsia="黑体"/>
                <w:kern w:val="0"/>
                <w:szCs w:val="21"/>
              </w:rPr>
            </w:pPr>
            <w:r>
              <w:rPr>
                <w:rFonts w:hint="eastAsia" w:ascii="黑体" w:hAnsi="黑体" w:eastAsia="黑体"/>
                <w:kern w:val="0"/>
                <w:szCs w:val="21"/>
              </w:rPr>
              <w:t>评分标准</w:t>
            </w:r>
          </w:p>
        </w:tc>
        <w:tc>
          <w:tcPr>
            <w:tcW w:w="6835" w:type="dxa"/>
            <w:gridSpan w:val="2"/>
            <w:vAlign w:val="center"/>
          </w:tcPr>
          <w:p>
            <w:pPr>
              <w:widowControl/>
              <w:jc w:val="center"/>
              <w:rPr>
                <w:rFonts w:ascii="黑体" w:hAnsi="黑体" w:eastAsia="黑体"/>
                <w:kern w:val="0"/>
                <w:szCs w:val="21"/>
              </w:rPr>
            </w:pPr>
            <w:r>
              <w:rPr>
                <w:rFonts w:hint="eastAsia" w:ascii="黑体" w:hAnsi="黑体" w:eastAsia="黑体"/>
                <w:kern w:val="0"/>
                <w:szCs w:val="21"/>
              </w:rPr>
              <w:t>评分说明</w:t>
            </w:r>
          </w:p>
        </w:tc>
      </w:tr>
      <w:tr>
        <w:trPr>
          <w:trHeight w:val="454" w:hRule="atLeast"/>
        </w:trPr>
        <w:tc>
          <w:tcPr>
            <w:tcW w:w="1570" w:type="dxa"/>
            <w:gridSpan w:val="2"/>
            <w:vMerge w:val="restart"/>
            <w:vAlign w:val="center"/>
          </w:tcPr>
          <w:p>
            <w:pPr>
              <w:widowControl/>
              <w:jc w:val="center"/>
              <w:rPr>
                <w:rFonts w:ascii="宋体" w:hAnsi="宋体"/>
                <w:b/>
                <w:kern w:val="0"/>
                <w:sz w:val="18"/>
                <w:szCs w:val="18"/>
              </w:rPr>
            </w:pPr>
            <w:r>
              <w:rPr>
                <w:rFonts w:hint="eastAsia" w:ascii="宋体" w:hAnsi="宋体"/>
                <w:b/>
                <w:kern w:val="0"/>
                <w:sz w:val="18"/>
                <w:szCs w:val="18"/>
              </w:rPr>
              <w:t>交通便利</w:t>
            </w:r>
          </w:p>
          <w:p>
            <w:pPr>
              <w:widowControl/>
              <w:jc w:val="center"/>
              <w:rPr>
                <w:rFonts w:ascii="宋体" w:hAnsi="宋体"/>
                <w:b/>
                <w:kern w:val="0"/>
                <w:sz w:val="18"/>
                <w:szCs w:val="18"/>
              </w:rPr>
            </w:pPr>
            <w:r>
              <w:rPr>
                <w:rFonts w:hint="eastAsia" w:ascii="宋体" w:hAnsi="宋体"/>
                <w:b/>
                <w:kern w:val="0"/>
                <w:sz w:val="18"/>
                <w:szCs w:val="18"/>
              </w:rPr>
              <w:t>（60分）</w:t>
            </w:r>
          </w:p>
        </w:tc>
        <w:tc>
          <w:tcPr>
            <w:tcW w:w="5769" w:type="dxa"/>
            <w:vAlign w:val="center"/>
          </w:tcPr>
          <w:p>
            <w:pPr>
              <w:rPr>
                <w:rFonts w:ascii="宋体" w:hAnsi="宋体"/>
                <w:kern w:val="0"/>
                <w:sz w:val="18"/>
                <w:szCs w:val="18"/>
              </w:rPr>
            </w:pPr>
            <w:r>
              <w:rPr>
                <w:rFonts w:hint="eastAsia" w:ascii="宋体" w:hAnsi="宋体"/>
                <w:kern w:val="0"/>
                <w:sz w:val="18"/>
                <w:szCs w:val="18"/>
              </w:rPr>
              <w:t>步行街与交通干道隔离，禁止机动车和非机动车通行。（15分）</w:t>
            </w:r>
          </w:p>
        </w:tc>
        <w:tc>
          <w:tcPr>
            <w:tcW w:w="6835" w:type="dxa"/>
            <w:gridSpan w:val="2"/>
            <w:vAlign w:val="center"/>
          </w:tcPr>
          <w:p>
            <w:pPr>
              <w:widowControl/>
              <w:jc w:val="left"/>
              <w:rPr>
                <w:rFonts w:ascii="宋体" w:hAnsi="宋体"/>
                <w:sz w:val="18"/>
                <w:szCs w:val="18"/>
              </w:rPr>
            </w:pPr>
            <w:r>
              <w:rPr>
                <w:rFonts w:hint="eastAsia" w:ascii="宋体" w:hAnsi="宋体"/>
                <w:kern w:val="0"/>
                <w:sz w:val="18"/>
                <w:szCs w:val="18"/>
              </w:rPr>
              <w:t>符合要求，得15分。否则不得分。</w:t>
            </w:r>
          </w:p>
        </w:tc>
      </w:tr>
      <w:tr>
        <w:trPr>
          <w:trHeight w:val="454" w:hRule="atLeast"/>
        </w:trPr>
        <w:tc>
          <w:tcPr>
            <w:tcW w:w="1570" w:type="dxa"/>
            <w:gridSpan w:val="2"/>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形成连接周边路网的道路慢行系统，主要路口有地下通道、过街天桥、空中连廊、满足客流需求的人行横道，步行舒适、便利、安全，达到无障碍设计要求。（15分）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步行街与通行机动车的道路相连接的路口有地下通道、过街天桥、空中连廊、斑马线清晰且满足客流量通行的人行横道等，每1处不符合要求的路口扣3分，最多扣9分。</w:t>
            </w:r>
          </w:p>
          <w:p>
            <w:pPr>
              <w:jc w:val="left"/>
              <w:rPr>
                <w:rFonts w:ascii="宋体" w:hAnsi="宋体"/>
                <w:sz w:val="18"/>
                <w:szCs w:val="18"/>
              </w:rPr>
            </w:pPr>
            <w:r>
              <w:rPr>
                <w:rFonts w:hint="eastAsia" w:ascii="宋体" w:hAnsi="宋体"/>
                <w:kern w:val="0"/>
                <w:sz w:val="18"/>
                <w:szCs w:val="18"/>
              </w:rPr>
              <w:t>步行街“四至”范围内道路慢行系统舒适、安全，达到无障碍要求，</w:t>
            </w:r>
            <w:r>
              <w:rPr>
                <w:sz w:val="18"/>
                <w:szCs w:val="18"/>
              </w:rPr>
              <w:t>步行道路台阶高差处应采用无障碍坡地连接，或应结合场地地形及景观构筑物设置无障碍坡道。台阶高差大于0.70m</w:t>
            </w:r>
            <w:r>
              <w:rPr>
                <w:rFonts w:hint="eastAsia"/>
                <w:sz w:val="18"/>
                <w:szCs w:val="18"/>
              </w:rPr>
              <w:t>的，</w:t>
            </w:r>
            <w:r>
              <w:rPr>
                <w:sz w:val="18"/>
                <w:szCs w:val="18"/>
              </w:rPr>
              <w:t>应设置助力扶手。</w:t>
            </w:r>
            <w:r>
              <w:rPr>
                <w:rFonts w:hint="eastAsia"/>
                <w:sz w:val="18"/>
                <w:szCs w:val="18"/>
              </w:rPr>
              <w:t>每1处不符合要求扣3分，最多扣6分。</w:t>
            </w:r>
          </w:p>
        </w:tc>
      </w:tr>
      <w:tr>
        <w:trPr>
          <w:trHeight w:val="454" w:hRule="atLeast"/>
        </w:trPr>
        <w:tc>
          <w:tcPr>
            <w:tcW w:w="1570" w:type="dxa"/>
            <w:gridSpan w:val="2"/>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500米范围内有地铁站或公交站点，100米范围内有出租车停靠点和非机动车停放点。（10分）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街区出入口500米范围内有地铁站或公交站点，得5分。</w:t>
            </w:r>
          </w:p>
          <w:p>
            <w:pPr>
              <w:widowControl/>
              <w:jc w:val="left"/>
              <w:rPr>
                <w:rFonts w:ascii="宋体" w:hAnsi="宋体"/>
                <w:sz w:val="18"/>
                <w:szCs w:val="18"/>
              </w:rPr>
            </w:pPr>
            <w:r>
              <w:rPr>
                <w:rFonts w:hint="eastAsia" w:ascii="宋体" w:hAnsi="宋体"/>
                <w:kern w:val="0"/>
                <w:sz w:val="18"/>
                <w:szCs w:val="18"/>
              </w:rPr>
              <w:t>街区出入口100米范围内有出租车停靠点和非机动车停放点，得5分。</w:t>
            </w:r>
          </w:p>
        </w:tc>
      </w:tr>
      <w:tr>
        <w:trPr>
          <w:trHeight w:val="454" w:hRule="atLeast"/>
        </w:trPr>
        <w:tc>
          <w:tcPr>
            <w:tcW w:w="1570" w:type="dxa"/>
            <w:gridSpan w:val="2"/>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sz w:val="18"/>
                <w:szCs w:val="18"/>
              </w:rPr>
              <w:t>每100平方米商业建筑面积</w:t>
            </w:r>
            <w:r>
              <w:rPr>
                <w:rFonts w:hint="eastAsia" w:ascii="宋体" w:hAnsi="宋体"/>
                <w:kern w:val="0"/>
                <w:sz w:val="18"/>
                <w:szCs w:val="18"/>
              </w:rPr>
              <w:t>配套停车位</w:t>
            </w:r>
            <w:r>
              <w:rPr>
                <w:rFonts w:hint="eastAsia" w:ascii="宋体" w:hAnsi="宋体"/>
                <w:sz w:val="18"/>
                <w:szCs w:val="18"/>
              </w:rPr>
              <w:t>不少于1.5个。（20分）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每100平方米商业建筑面积</w:t>
            </w:r>
            <w:r>
              <w:rPr>
                <w:rFonts w:hint="eastAsia" w:ascii="宋体" w:hAnsi="宋体"/>
                <w:kern w:val="0"/>
                <w:sz w:val="18"/>
                <w:szCs w:val="18"/>
              </w:rPr>
              <w:t>配套停车位</w:t>
            </w:r>
            <w:r>
              <w:rPr>
                <w:rFonts w:hint="eastAsia" w:ascii="宋体" w:hAnsi="宋体"/>
                <w:sz w:val="18"/>
                <w:szCs w:val="18"/>
              </w:rPr>
              <w:t>1</w:t>
            </w:r>
            <w:r>
              <w:rPr>
                <w:rFonts w:ascii="宋体" w:hAnsi="宋体"/>
                <w:sz w:val="18"/>
                <w:szCs w:val="18"/>
              </w:rPr>
              <w:t>.5</w:t>
            </w:r>
            <w:r>
              <w:rPr>
                <w:rFonts w:hint="eastAsia" w:ascii="宋体" w:hAnsi="宋体"/>
                <w:sz w:val="18"/>
                <w:szCs w:val="18"/>
              </w:rPr>
              <w:t>个（含）以上，得20分。</w:t>
            </w:r>
          </w:p>
          <w:p>
            <w:pPr>
              <w:widowControl/>
              <w:jc w:val="left"/>
              <w:rPr>
                <w:rFonts w:ascii="宋体" w:hAnsi="宋体"/>
                <w:sz w:val="18"/>
                <w:szCs w:val="18"/>
              </w:rPr>
            </w:pPr>
            <w:r>
              <w:rPr>
                <w:rFonts w:hint="eastAsia" w:ascii="宋体" w:hAnsi="宋体"/>
                <w:sz w:val="18"/>
                <w:szCs w:val="18"/>
              </w:rPr>
              <w:t>每100平方米商业建筑面积</w:t>
            </w:r>
            <w:r>
              <w:rPr>
                <w:rFonts w:hint="eastAsia" w:ascii="宋体" w:hAnsi="宋体"/>
                <w:kern w:val="0"/>
                <w:sz w:val="18"/>
                <w:szCs w:val="18"/>
              </w:rPr>
              <w:t>配套停车位</w:t>
            </w:r>
            <w:r>
              <w:rPr>
                <w:rFonts w:ascii="宋体" w:hAnsi="宋体"/>
                <w:sz w:val="18"/>
                <w:szCs w:val="18"/>
              </w:rPr>
              <w:t>1</w:t>
            </w:r>
            <w:r>
              <w:rPr>
                <w:rFonts w:hint="eastAsia" w:ascii="宋体" w:hAnsi="宋体"/>
                <w:sz w:val="18"/>
                <w:szCs w:val="18"/>
              </w:rPr>
              <w:t>（含）-1</w:t>
            </w:r>
            <w:r>
              <w:rPr>
                <w:rFonts w:ascii="宋体" w:hAnsi="宋体"/>
                <w:sz w:val="18"/>
                <w:szCs w:val="18"/>
              </w:rPr>
              <w:t>.5</w:t>
            </w:r>
            <w:r>
              <w:rPr>
                <w:rFonts w:hint="eastAsia" w:ascii="宋体" w:hAnsi="宋体"/>
                <w:sz w:val="18"/>
                <w:szCs w:val="18"/>
              </w:rPr>
              <w:t>个，得10分。</w:t>
            </w:r>
          </w:p>
          <w:p>
            <w:pPr>
              <w:widowControl/>
              <w:jc w:val="left"/>
              <w:rPr>
                <w:rFonts w:ascii="宋体" w:hAnsi="宋体"/>
                <w:sz w:val="18"/>
                <w:szCs w:val="18"/>
              </w:rPr>
            </w:pPr>
            <w:r>
              <w:rPr>
                <w:rFonts w:hint="eastAsia" w:ascii="宋体" w:hAnsi="宋体"/>
                <w:sz w:val="18"/>
                <w:szCs w:val="18"/>
              </w:rPr>
              <w:t>每100平方米面积</w:t>
            </w:r>
            <w:r>
              <w:rPr>
                <w:rFonts w:hint="eastAsia" w:ascii="宋体" w:hAnsi="宋体"/>
                <w:kern w:val="0"/>
                <w:sz w:val="18"/>
                <w:szCs w:val="18"/>
              </w:rPr>
              <w:t>配套停车位</w:t>
            </w:r>
            <w:r>
              <w:rPr>
                <w:rFonts w:hint="eastAsia" w:ascii="宋体" w:hAnsi="宋体"/>
                <w:sz w:val="18"/>
                <w:szCs w:val="18"/>
              </w:rPr>
              <w:t>不足1个的，应当与周边500米范围内的社会停车场签订共享协议，满足步行街停车需求，得</w:t>
            </w:r>
            <w:r>
              <w:rPr>
                <w:rFonts w:ascii="宋体" w:hAnsi="宋体"/>
                <w:sz w:val="18"/>
                <w:szCs w:val="18"/>
              </w:rPr>
              <w:t>5</w:t>
            </w:r>
            <w:r>
              <w:rPr>
                <w:rFonts w:hint="eastAsia" w:ascii="宋体" w:hAnsi="宋体"/>
                <w:sz w:val="18"/>
                <w:szCs w:val="18"/>
              </w:rPr>
              <w:t>分。</w:t>
            </w:r>
          </w:p>
        </w:tc>
      </w:tr>
      <w:tr>
        <w:trPr>
          <w:trHeight w:val="567" w:hRule="atLeast"/>
        </w:trPr>
        <w:tc>
          <w:tcPr>
            <w:tcW w:w="14174" w:type="dxa"/>
            <w:gridSpan w:val="5"/>
            <w:tcBorders>
              <w:bottom w:val="single" w:color="auto" w:sz="4" w:space="0"/>
            </w:tcBorders>
            <w:shd w:val="clear" w:color="auto" w:fill="F2F2F2"/>
            <w:vAlign w:val="center"/>
          </w:tcPr>
          <w:p>
            <w:pPr>
              <w:widowControl/>
              <w:jc w:val="left"/>
              <w:rPr>
                <w:rFonts w:ascii="宋体" w:hAnsi="宋体"/>
                <w:kern w:val="0"/>
                <w:sz w:val="18"/>
                <w:szCs w:val="18"/>
              </w:rPr>
            </w:pPr>
            <w:r>
              <w:rPr>
                <w:rFonts w:hint="eastAsia" w:ascii="黑体" w:hAnsi="黑体" w:eastAsia="黑体"/>
                <w:b/>
                <w:sz w:val="24"/>
              </w:rPr>
              <w:t>二、环境设施（160分）</w:t>
            </w:r>
          </w:p>
        </w:tc>
      </w:tr>
      <w:tr>
        <w:trPr>
          <w:trHeight w:val="410" w:hRule="atLeast"/>
          <w:tblHeader/>
        </w:trPr>
        <w:tc>
          <w:tcPr>
            <w:tcW w:w="1570" w:type="dxa"/>
            <w:gridSpan w:val="2"/>
            <w:vAlign w:val="center"/>
          </w:tcPr>
          <w:p>
            <w:pPr>
              <w:widowControl/>
              <w:jc w:val="center"/>
              <w:rPr>
                <w:rFonts w:ascii="黑体" w:hAnsi="黑体" w:eastAsia="黑体"/>
                <w:kern w:val="0"/>
                <w:szCs w:val="21"/>
              </w:rPr>
            </w:pPr>
            <w:r>
              <w:rPr>
                <w:rFonts w:hint="eastAsia" w:ascii="黑体" w:hAnsi="黑体" w:eastAsia="黑体"/>
                <w:kern w:val="0"/>
                <w:szCs w:val="21"/>
              </w:rPr>
              <w:t>评分指标</w:t>
            </w:r>
          </w:p>
        </w:tc>
        <w:tc>
          <w:tcPr>
            <w:tcW w:w="5769" w:type="dxa"/>
            <w:vAlign w:val="center"/>
          </w:tcPr>
          <w:p>
            <w:pPr>
              <w:widowControl/>
              <w:jc w:val="center"/>
              <w:rPr>
                <w:rFonts w:ascii="黑体" w:hAnsi="黑体" w:eastAsia="黑体"/>
                <w:kern w:val="0"/>
                <w:szCs w:val="21"/>
              </w:rPr>
            </w:pPr>
            <w:r>
              <w:rPr>
                <w:rFonts w:hint="eastAsia" w:ascii="黑体" w:hAnsi="黑体" w:eastAsia="黑体"/>
                <w:kern w:val="0"/>
                <w:szCs w:val="21"/>
              </w:rPr>
              <w:t>评分标准</w:t>
            </w:r>
          </w:p>
        </w:tc>
        <w:tc>
          <w:tcPr>
            <w:tcW w:w="6835" w:type="dxa"/>
            <w:gridSpan w:val="2"/>
            <w:vAlign w:val="center"/>
          </w:tcPr>
          <w:p>
            <w:pPr>
              <w:widowControl/>
              <w:jc w:val="center"/>
              <w:rPr>
                <w:rFonts w:ascii="黑体" w:hAnsi="黑体" w:eastAsia="黑体"/>
                <w:kern w:val="0"/>
                <w:szCs w:val="21"/>
              </w:rPr>
            </w:pPr>
            <w:r>
              <w:rPr>
                <w:rFonts w:hint="eastAsia" w:ascii="黑体" w:hAnsi="黑体" w:eastAsia="黑体"/>
                <w:kern w:val="0"/>
                <w:szCs w:val="21"/>
              </w:rPr>
              <w:t>评分说明</w:t>
            </w:r>
          </w:p>
        </w:tc>
      </w:tr>
      <w:tr>
        <w:trPr>
          <w:trHeight w:val="829" w:hRule="atLeast"/>
        </w:trPr>
        <w:tc>
          <w:tcPr>
            <w:tcW w:w="1570" w:type="dxa"/>
            <w:gridSpan w:val="2"/>
            <w:vMerge w:val="restart"/>
            <w:vAlign w:val="center"/>
          </w:tcPr>
          <w:p>
            <w:pPr>
              <w:jc w:val="center"/>
              <w:rPr>
                <w:rFonts w:ascii="宋体" w:hAnsi="宋体"/>
                <w:b/>
                <w:kern w:val="0"/>
                <w:sz w:val="18"/>
                <w:szCs w:val="18"/>
              </w:rPr>
            </w:pPr>
            <w:r>
              <w:rPr>
                <w:rFonts w:hint="eastAsia" w:ascii="宋体" w:hAnsi="宋体"/>
                <w:b/>
                <w:kern w:val="0"/>
                <w:sz w:val="18"/>
                <w:szCs w:val="18"/>
              </w:rPr>
              <w:t>环境优美</w:t>
            </w:r>
          </w:p>
          <w:p>
            <w:pPr>
              <w:jc w:val="center"/>
              <w:rPr>
                <w:rFonts w:ascii="宋体" w:hAnsi="宋体"/>
                <w:b/>
                <w:kern w:val="0"/>
                <w:sz w:val="18"/>
                <w:szCs w:val="18"/>
              </w:rPr>
            </w:pPr>
            <w:r>
              <w:rPr>
                <w:rFonts w:hint="eastAsia" w:ascii="宋体" w:hAnsi="宋体"/>
                <w:b/>
                <w:kern w:val="0"/>
                <w:sz w:val="18"/>
                <w:szCs w:val="18"/>
              </w:rPr>
              <w:t>（70分）</w:t>
            </w:r>
          </w:p>
        </w:tc>
        <w:tc>
          <w:tcPr>
            <w:tcW w:w="5769" w:type="dxa"/>
            <w:vAlign w:val="center"/>
          </w:tcPr>
          <w:p>
            <w:pPr>
              <w:widowControl/>
              <w:rPr>
                <w:rFonts w:ascii="宋体" w:hAnsi="宋体"/>
                <w:kern w:val="0"/>
                <w:sz w:val="18"/>
                <w:szCs w:val="18"/>
              </w:rPr>
            </w:pPr>
            <w:r>
              <w:rPr>
                <w:rFonts w:hint="eastAsia" w:ascii="宋体" w:hAnsi="宋体"/>
                <w:kern w:val="0"/>
                <w:sz w:val="18"/>
                <w:szCs w:val="18"/>
              </w:rPr>
              <w:t>建筑立面美观、协调。（20分）</w:t>
            </w:r>
          </w:p>
        </w:tc>
        <w:tc>
          <w:tcPr>
            <w:tcW w:w="6835" w:type="dxa"/>
            <w:gridSpan w:val="2"/>
            <w:vAlign w:val="center"/>
          </w:tcPr>
          <w:p>
            <w:pPr>
              <w:widowControl/>
              <w:jc w:val="left"/>
              <w:rPr>
                <w:rFonts w:ascii="宋体" w:hAnsi="宋体"/>
                <w:sz w:val="18"/>
                <w:szCs w:val="18"/>
              </w:rPr>
            </w:pPr>
            <w:r>
              <w:rPr>
                <w:rFonts w:hint="eastAsia" w:ascii="宋体" w:hAnsi="宋体"/>
                <w:kern w:val="0"/>
                <w:sz w:val="18"/>
                <w:szCs w:val="18"/>
              </w:rPr>
              <w:t>专家评估，现场查看建筑立面及广告招牌是否协调、美观，最多10分；建筑立面及广告招牌是否有明显破损、脱落，每1处明显破损、脱落扣2分，最多扣10分。</w:t>
            </w:r>
          </w:p>
        </w:tc>
      </w:tr>
      <w:tr>
        <w:trPr>
          <w:trHeight w:val="1123" w:hRule="atLeast"/>
        </w:trPr>
        <w:tc>
          <w:tcPr>
            <w:tcW w:w="1570" w:type="dxa"/>
            <w:gridSpan w:val="2"/>
            <w:vMerge w:val="continue"/>
            <w:vAlign w:val="center"/>
          </w:tcPr>
          <w:p>
            <w:pPr>
              <w:jc w:val="center"/>
              <w:rPr>
                <w:rFonts w:ascii="宋体" w:hAnsi="宋体"/>
                <w:b/>
                <w:kern w:val="0"/>
                <w:sz w:val="18"/>
                <w:szCs w:val="18"/>
              </w:rPr>
            </w:pPr>
          </w:p>
        </w:tc>
        <w:tc>
          <w:tcPr>
            <w:tcW w:w="5769" w:type="dxa"/>
            <w:tcBorders>
              <w:bottom w:val="single" w:color="auto" w:sz="4" w:space="0"/>
            </w:tcBorders>
            <w:vAlign w:val="center"/>
          </w:tcPr>
          <w:p>
            <w:pPr>
              <w:rPr>
                <w:rFonts w:ascii="宋体" w:hAnsi="宋体"/>
                <w:b/>
                <w:kern w:val="0"/>
                <w:sz w:val="18"/>
                <w:szCs w:val="18"/>
              </w:rPr>
            </w:pPr>
            <w:r>
              <w:rPr>
                <w:rFonts w:hint="eastAsia" w:ascii="宋体" w:hAnsi="宋体"/>
                <w:kern w:val="0"/>
                <w:sz w:val="18"/>
                <w:szCs w:val="18"/>
              </w:rPr>
              <w:t>地面干净、平整、防滑。（20分）</w:t>
            </w:r>
          </w:p>
        </w:tc>
        <w:tc>
          <w:tcPr>
            <w:tcW w:w="6835" w:type="dxa"/>
            <w:gridSpan w:val="2"/>
            <w:tcBorders>
              <w:bottom w:val="single" w:color="auto" w:sz="4" w:space="0"/>
            </w:tcBorders>
            <w:vAlign w:val="center"/>
          </w:tcPr>
          <w:p>
            <w:pPr>
              <w:widowControl/>
              <w:jc w:val="left"/>
              <w:rPr>
                <w:rFonts w:ascii="宋体" w:hAnsi="宋体"/>
                <w:sz w:val="18"/>
                <w:szCs w:val="18"/>
              </w:rPr>
            </w:pPr>
            <w:r>
              <w:rPr>
                <w:rFonts w:hint="eastAsia" w:ascii="宋体" w:hAnsi="宋体"/>
                <w:kern w:val="0"/>
                <w:sz w:val="18"/>
                <w:szCs w:val="18"/>
              </w:rPr>
              <w:t>专家评估，现场查看地面有无垃圾杂物、堆占、积水及明显破损情况，地面铺砖、</w:t>
            </w:r>
            <w:r>
              <w:rPr>
                <w:rFonts w:ascii="宋体" w:hAnsi="宋体"/>
                <w:kern w:val="0"/>
                <w:sz w:val="18"/>
                <w:szCs w:val="18"/>
              </w:rPr>
              <w:t>井盖、排水篦子</w:t>
            </w:r>
            <w:r>
              <w:rPr>
                <w:rFonts w:hint="eastAsia" w:ascii="宋体" w:hAnsi="宋体"/>
                <w:kern w:val="0"/>
                <w:sz w:val="18"/>
                <w:szCs w:val="18"/>
              </w:rPr>
              <w:t>是否</w:t>
            </w:r>
            <w:r>
              <w:rPr>
                <w:rFonts w:ascii="宋体" w:hAnsi="宋体"/>
                <w:kern w:val="0"/>
                <w:sz w:val="18"/>
                <w:szCs w:val="18"/>
              </w:rPr>
              <w:t>与人行路面</w:t>
            </w:r>
            <w:r>
              <w:rPr>
                <w:rFonts w:hint="eastAsia" w:ascii="宋体" w:hAnsi="宋体"/>
                <w:kern w:val="0"/>
                <w:sz w:val="18"/>
                <w:szCs w:val="18"/>
              </w:rPr>
              <w:t>产生</w:t>
            </w:r>
            <w:r>
              <w:rPr>
                <w:rFonts w:ascii="宋体" w:hAnsi="宋体"/>
                <w:kern w:val="0"/>
                <w:sz w:val="18"/>
                <w:szCs w:val="18"/>
              </w:rPr>
              <w:t>高差。</w:t>
            </w:r>
            <w:r>
              <w:rPr>
                <w:rFonts w:hint="eastAsia" w:ascii="宋体" w:hAnsi="宋体"/>
                <w:kern w:val="0"/>
                <w:sz w:val="18"/>
                <w:szCs w:val="18"/>
              </w:rPr>
              <w:t>每发现1处扣2分，最多扣2</w:t>
            </w:r>
            <w:r>
              <w:rPr>
                <w:rFonts w:ascii="宋体" w:hAnsi="宋体"/>
                <w:kern w:val="0"/>
                <w:sz w:val="18"/>
                <w:szCs w:val="18"/>
              </w:rPr>
              <w:t>0</w:t>
            </w:r>
            <w:r>
              <w:rPr>
                <w:rFonts w:hint="eastAsia" w:ascii="宋体" w:hAnsi="宋体"/>
                <w:kern w:val="0"/>
                <w:sz w:val="18"/>
                <w:szCs w:val="18"/>
              </w:rPr>
              <w:t>分。</w:t>
            </w:r>
          </w:p>
        </w:tc>
      </w:tr>
      <w:tr>
        <w:trPr>
          <w:trHeight w:val="454" w:hRule="atLeast"/>
        </w:trPr>
        <w:tc>
          <w:tcPr>
            <w:tcW w:w="1570" w:type="dxa"/>
            <w:gridSpan w:val="2"/>
            <w:vMerge w:val="continue"/>
            <w:vAlign w:val="center"/>
          </w:tcPr>
          <w:p>
            <w:pPr>
              <w:widowControl/>
              <w:jc w:val="center"/>
              <w:rPr>
                <w:rFonts w:ascii="宋体" w:hAnsi="宋体"/>
                <w:b/>
                <w:kern w:val="0"/>
                <w:sz w:val="18"/>
                <w:szCs w:val="18"/>
              </w:rPr>
            </w:pPr>
          </w:p>
        </w:tc>
        <w:tc>
          <w:tcPr>
            <w:tcW w:w="5769" w:type="dxa"/>
            <w:vAlign w:val="center"/>
          </w:tcPr>
          <w:p>
            <w:pPr>
              <w:widowControl/>
              <w:rPr>
                <w:rFonts w:ascii="宋体" w:hAnsi="宋体"/>
                <w:kern w:val="0"/>
                <w:sz w:val="18"/>
                <w:szCs w:val="18"/>
              </w:rPr>
            </w:pPr>
            <w:r>
              <w:rPr>
                <w:rFonts w:hint="eastAsia" w:ascii="宋体" w:hAnsi="宋体"/>
                <w:kern w:val="0"/>
                <w:sz w:val="18"/>
                <w:szCs w:val="18"/>
              </w:rPr>
              <w:t>绿化覆盖率20%（含）以上。（10分）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通过地面绿化、立体绿化、空中绿化等手段，丰富绿化层次，提高绿化水平，美化街区景观。街区绿化覆盖率20%（含）以上，得1</w:t>
            </w:r>
            <w:r>
              <w:rPr>
                <w:rFonts w:ascii="宋体" w:hAnsi="宋体"/>
                <w:kern w:val="0"/>
                <w:sz w:val="18"/>
                <w:szCs w:val="18"/>
              </w:rPr>
              <w:t>0</w:t>
            </w:r>
            <w:r>
              <w:rPr>
                <w:rFonts w:hint="eastAsia" w:ascii="宋体" w:hAnsi="宋体"/>
                <w:kern w:val="0"/>
                <w:sz w:val="18"/>
                <w:szCs w:val="18"/>
              </w:rPr>
              <w:t>分；绿化覆盖率10%（含）-20%，得5分；绿化覆盖率10%以下，得2分。</w:t>
            </w:r>
          </w:p>
        </w:tc>
      </w:tr>
      <w:tr>
        <w:trPr>
          <w:trHeight w:val="410" w:hRule="atLeast"/>
          <w:tblHeader/>
        </w:trPr>
        <w:tc>
          <w:tcPr>
            <w:tcW w:w="1570" w:type="dxa"/>
            <w:gridSpan w:val="2"/>
            <w:vAlign w:val="center"/>
          </w:tcPr>
          <w:p>
            <w:pPr>
              <w:widowControl/>
              <w:jc w:val="center"/>
              <w:rPr>
                <w:rFonts w:ascii="黑体" w:hAnsi="黑体" w:eastAsia="黑体"/>
                <w:kern w:val="0"/>
                <w:szCs w:val="21"/>
              </w:rPr>
            </w:pPr>
            <w:r>
              <w:rPr>
                <w:rFonts w:hint="eastAsia" w:ascii="黑体" w:hAnsi="黑体" w:eastAsia="黑体"/>
                <w:kern w:val="0"/>
                <w:szCs w:val="21"/>
              </w:rPr>
              <w:t>评分指标</w:t>
            </w:r>
          </w:p>
        </w:tc>
        <w:tc>
          <w:tcPr>
            <w:tcW w:w="5769" w:type="dxa"/>
            <w:vAlign w:val="center"/>
          </w:tcPr>
          <w:p>
            <w:pPr>
              <w:widowControl/>
              <w:jc w:val="center"/>
              <w:rPr>
                <w:rFonts w:ascii="黑体" w:hAnsi="黑体" w:eastAsia="黑体"/>
                <w:kern w:val="0"/>
                <w:szCs w:val="21"/>
              </w:rPr>
            </w:pPr>
            <w:r>
              <w:rPr>
                <w:rFonts w:hint="eastAsia" w:ascii="黑体" w:hAnsi="黑体" w:eastAsia="黑体"/>
                <w:kern w:val="0"/>
                <w:szCs w:val="21"/>
              </w:rPr>
              <w:t>评分标准</w:t>
            </w:r>
          </w:p>
        </w:tc>
        <w:tc>
          <w:tcPr>
            <w:tcW w:w="6835" w:type="dxa"/>
            <w:gridSpan w:val="2"/>
            <w:vAlign w:val="center"/>
          </w:tcPr>
          <w:p>
            <w:pPr>
              <w:widowControl/>
              <w:jc w:val="center"/>
              <w:rPr>
                <w:rFonts w:ascii="黑体" w:hAnsi="黑体" w:eastAsia="黑体"/>
                <w:kern w:val="0"/>
                <w:szCs w:val="21"/>
              </w:rPr>
            </w:pPr>
            <w:r>
              <w:rPr>
                <w:rFonts w:hint="eastAsia" w:ascii="黑体" w:hAnsi="黑体" w:eastAsia="黑体"/>
                <w:kern w:val="0"/>
                <w:szCs w:val="21"/>
              </w:rPr>
              <w:t>评分说明</w:t>
            </w:r>
          </w:p>
        </w:tc>
      </w:tr>
      <w:tr>
        <w:trPr>
          <w:trHeight w:val="997" w:hRule="atLeast"/>
        </w:trPr>
        <w:tc>
          <w:tcPr>
            <w:tcW w:w="1570" w:type="dxa"/>
            <w:gridSpan w:val="2"/>
            <w:vAlign w:val="center"/>
          </w:tcPr>
          <w:p>
            <w:pPr>
              <w:widowControl/>
              <w:jc w:val="center"/>
              <w:rPr>
                <w:rFonts w:ascii="宋体" w:hAnsi="宋体"/>
                <w:b/>
                <w:kern w:val="0"/>
                <w:sz w:val="18"/>
                <w:szCs w:val="18"/>
              </w:rPr>
            </w:pPr>
          </w:p>
        </w:tc>
        <w:tc>
          <w:tcPr>
            <w:tcW w:w="5769" w:type="dxa"/>
            <w:vAlign w:val="center"/>
          </w:tcPr>
          <w:p>
            <w:pPr>
              <w:widowControl/>
              <w:rPr>
                <w:rFonts w:ascii="宋体" w:hAnsi="宋体"/>
                <w:kern w:val="0"/>
                <w:sz w:val="18"/>
                <w:szCs w:val="18"/>
              </w:rPr>
            </w:pPr>
            <w:r>
              <w:rPr>
                <w:rFonts w:hint="eastAsia" w:ascii="宋体" w:hAnsi="宋体"/>
                <w:kern w:val="0"/>
                <w:sz w:val="18"/>
                <w:szCs w:val="18"/>
              </w:rPr>
              <w:t>主题景观、夜景亮化彰显人文特质，具有独特性和创新性。（20分）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专家评估，现场评估主题景观是否凸显文化特色，与商业业态、建筑风格是否协调一致，最多得10分。</w:t>
            </w:r>
          </w:p>
          <w:p>
            <w:pPr>
              <w:widowControl/>
              <w:jc w:val="left"/>
              <w:rPr>
                <w:rFonts w:ascii="宋体" w:hAnsi="宋体"/>
                <w:sz w:val="18"/>
                <w:szCs w:val="18"/>
              </w:rPr>
            </w:pPr>
            <w:r>
              <w:rPr>
                <w:rFonts w:hint="eastAsia" w:ascii="宋体" w:hAnsi="宋体"/>
                <w:kern w:val="0"/>
                <w:sz w:val="18"/>
                <w:szCs w:val="18"/>
              </w:rPr>
              <w:t>夜景亮化是否环保节能，是否具有创新性，最多得10分。</w:t>
            </w:r>
          </w:p>
        </w:tc>
      </w:tr>
      <w:tr>
        <w:trPr>
          <w:trHeight w:val="454" w:hRule="atLeast"/>
        </w:trPr>
        <w:tc>
          <w:tcPr>
            <w:tcW w:w="1570" w:type="dxa"/>
            <w:gridSpan w:val="2"/>
            <w:vMerge w:val="restart"/>
            <w:vAlign w:val="center"/>
          </w:tcPr>
          <w:p>
            <w:pPr>
              <w:widowControl/>
              <w:jc w:val="center"/>
              <w:rPr>
                <w:rFonts w:ascii="宋体" w:hAnsi="宋体"/>
                <w:b/>
                <w:kern w:val="0"/>
                <w:sz w:val="18"/>
                <w:szCs w:val="18"/>
              </w:rPr>
            </w:pPr>
            <w:r>
              <w:rPr>
                <w:rFonts w:hint="eastAsia" w:ascii="宋体" w:hAnsi="宋体"/>
                <w:b/>
                <w:kern w:val="0"/>
                <w:sz w:val="18"/>
                <w:szCs w:val="18"/>
              </w:rPr>
              <w:t>设施完善</w:t>
            </w:r>
          </w:p>
          <w:p>
            <w:pPr>
              <w:widowControl/>
              <w:jc w:val="center"/>
              <w:rPr>
                <w:rFonts w:ascii="宋体" w:hAnsi="宋体"/>
                <w:b/>
                <w:kern w:val="0"/>
                <w:sz w:val="18"/>
                <w:szCs w:val="18"/>
              </w:rPr>
            </w:pPr>
            <w:r>
              <w:rPr>
                <w:rFonts w:hint="eastAsia" w:ascii="宋体" w:hAnsi="宋体"/>
                <w:b/>
                <w:kern w:val="0"/>
                <w:sz w:val="18"/>
                <w:szCs w:val="18"/>
              </w:rPr>
              <w:t>（90分）</w:t>
            </w:r>
          </w:p>
        </w:tc>
        <w:tc>
          <w:tcPr>
            <w:tcW w:w="5769" w:type="dxa"/>
            <w:vAlign w:val="center"/>
          </w:tcPr>
          <w:p>
            <w:pPr>
              <w:rPr>
                <w:rFonts w:ascii="宋体" w:hAnsi="宋体"/>
                <w:kern w:val="0"/>
                <w:sz w:val="18"/>
                <w:szCs w:val="18"/>
              </w:rPr>
            </w:pPr>
            <w:r>
              <w:rPr>
                <w:rFonts w:hint="eastAsia" w:ascii="宋体" w:hAnsi="宋体"/>
                <w:kern w:val="0"/>
                <w:sz w:val="18"/>
                <w:szCs w:val="18"/>
              </w:rPr>
              <w:t>各出入口及主要节点有清晰的标识导示系统。（16分）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现场查看，街区标识导示系统不少于两种语言，得4分。</w:t>
            </w:r>
          </w:p>
          <w:p>
            <w:pPr>
              <w:widowControl/>
              <w:jc w:val="left"/>
              <w:rPr>
                <w:rFonts w:ascii="宋体" w:hAnsi="宋体"/>
                <w:sz w:val="18"/>
                <w:szCs w:val="18"/>
              </w:rPr>
            </w:pPr>
            <w:r>
              <w:rPr>
                <w:rFonts w:hint="eastAsia" w:ascii="宋体" w:hAnsi="宋体"/>
                <w:kern w:val="0"/>
                <w:sz w:val="18"/>
                <w:szCs w:val="18"/>
              </w:rPr>
              <w:t>各出入口及主要节点都有标识导示系统,每缺失1处，扣3分，最多扣12分。</w:t>
            </w:r>
          </w:p>
        </w:tc>
      </w:tr>
      <w:tr>
        <w:trPr>
          <w:trHeight w:val="648" w:hRule="atLeast"/>
        </w:trPr>
        <w:tc>
          <w:tcPr>
            <w:tcW w:w="1570" w:type="dxa"/>
            <w:gridSpan w:val="2"/>
            <w:vMerge w:val="continue"/>
            <w:vAlign w:val="center"/>
          </w:tcPr>
          <w:p>
            <w:pPr>
              <w:jc w:val="center"/>
              <w:rPr>
                <w:rFonts w:ascii="宋体" w:hAnsi="宋体"/>
                <w:kern w:val="0"/>
                <w:sz w:val="18"/>
                <w:szCs w:val="18"/>
              </w:rPr>
            </w:pPr>
          </w:p>
        </w:tc>
        <w:tc>
          <w:tcPr>
            <w:tcW w:w="5769" w:type="dxa"/>
            <w:vAlign w:val="center"/>
          </w:tcPr>
          <w:p>
            <w:pPr>
              <w:widowControl/>
              <w:rPr>
                <w:rFonts w:ascii="宋体" w:hAnsi="宋体"/>
                <w:kern w:val="0"/>
                <w:sz w:val="18"/>
                <w:szCs w:val="18"/>
              </w:rPr>
            </w:pPr>
            <w:r>
              <w:rPr>
                <w:rFonts w:hint="eastAsia" w:ascii="宋体" w:hAnsi="宋体"/>
                <w:kern w:val="0"/>
                <w:sz w:val="18"/>
                <w:szCs w:val="18"/>
              </w:rPr>
              <w:t>每50米至少设有1处垃圾箱，每300米至少设有1处公共厕所（含建筑物内部厕所）。（12分）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每50米至少设有1处垃圾箱，每缺失1处，扣2分，最多扣6分。</w:t>
            </w:r>
          </w:p>
          <w:p>
            <w:pPr>
              <w:widowControl/>
              <w:jc w:val="left"/>
              <w:rPr>
                <w:rFonts w:ascii="宋体" w:hAnsi="宋体"/>
                <w:sz w:val="18"/>
                <w:szCs w:val="18"/>
              </w:rPr>
            </w:pPr>
            <w:r>
              <w:rPr>
                <w:rFonts w:hint="eastAsia" w:ascii="宋体" w:hAnsi="宋体"/>
                <w:kern w:val="0"/>
                <w:sz w:val="18"/>
                <w:szCs w:val="18"/>
              </w:rPr>
              <w:t>每300米至少设有1处公共厕所（含建筑物内部厕所），每缺失1处，扣2分，最多扣6分。</w:t>
            </w:r>
          </w:p>
        </w:tc>
      </w:tr>
      <w:tr>
        <w:trPr>
          <w:trHeight w:val="692" w:hRule="atLeast"/>
        </w:trPr>
        <w:tc>
          <w:tcPr>
            <w:tcW w:w="1570" w:type="dxa"/>
            <w:gridSpan w:val="2"/>
            <w:vMerge w:val="continue"/>
            <w:vAlign w:val="center"/>
          </w:tcPr>
          <w:p>
            <w:pPr>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每50米至少设有1处休息空间及设施，合理划分吸烟区和非吸烟区并有明确的指示标志。（12分）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每50米至少有1处休息空间及设施，每缺失1处，扣2分，最多扣6分。</w:t>
            </w:r>
          </w:p>
          <w:p>
            <w:pPr>
              <w:widowControl/>
              <w:jc w:val="left"/>
              <w:rPr>
                <w:rFonts w:ascii="宋体" w:hAnsi="宋体"/>
                <w:sz w:val="18"/>
                <w:szCs w:val="18"/>
              </w:rPr>
            </w:pPr>
            <w:r>
              <w:rPr>
                <w:rFonts w:hint="eastAsia" w:ascii="宋体" w:hAnsi="宋体"/>
                <w:kern w:val="0"/>
                <w:sz w:val="18"/>
                <w:szCs w:val="18"/>
              </w:rPr>
              <w:t>合理划分吸烟区和非吸烟区并有明确的指示标志，得6分。</w:t>
            </w:r>
          </w:p>
        </w:tc>
      </w:tr>
      <w:tr>
        <w:trPr>
          <w:trHeight w:val="3395" w:hRule="atLeast"/>
        </w:trPr>
        <w:tc>
          <w:tcPr>
            <w:tcW w:w="1570" w:type="dxa"/>
            <w:gridSpan w:val="2"/>
            <w:vMerge w:val="continue"/>
            <w:vAlign w:val="center"/>
          </w:tcPr>
          <w:p>
            <w:pPr>
              <w:jc w:val="center"/>
              <w:rPr>
                <w:rFonts w:ascii="宋体" w:hAnsi="宋体"/>
                <w:kern w:val="0"/>
                <w:sz w:val="18"/>
                <w:szCs w:val="18"/>
              </w:rPr>
            </w:pPr>
          </w:p>
        </w:tc>
        <w:tc>
          <w:tcPr>
            <w:tcW w:w="5769" w:type="dxa"/>
            <w:tcBorders>
              <w:bottom w:val="single" w:color="auto" w:sz="4" w:space="0"/>
            </w:tcBorders>
            <w:vAlign w:val="center"/>
          </w:tcPr>
          <w:p>
            <w:pPr>
              <w:rPr>
                <w:rFonts w:ascii="宋体" w:hAnsi="宋体"/>
                <w:kern w:val="0"/>
                <w:sz w:val="18"/>
                <w:szCs w:val="18"/>
              </w:rPr>
            </w:pPr>
            <w:r>
              <w:rPr>
                <w:rFonts w:hint="eastAsia" w:ascii="宋体" w:hAnsi="宋体"/>
                <w:kern w:val="0"/>
                <w:sz w:val="18"/>
                <w:szCs w:val="18"/>
              </w:rPr>
              <w:t>无障碍设施完善，成为城市公共空间环境品质提升的典范，体现城市以人为本的情感关怀。（40分）</w:t>
            </w:r>
          </w:p>
        </w:tc>
        <w:tc>
          <w:tcPr>
            <w:tcW w:w="6835" w:type="dxa"/>
            <w:gridSpan w:val="2"/>
            <w:tcBorders>
              <w:bottom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专家评估，现场查看步行街无障碍设施情况。</w:t>
            </w:r>
          </w:p>
          <w:p>
            <w:pPr>
              <w:jc w:val="left"/>
              <w:rPr>
                <w:rFonts w:ascii="宋体" w:hAnsi="宋体"/>
                <w:kern w:val="0"/>
                <w:sz w:val="18"/>
                <w:szCs w:val="18"/>
              </w:rPr>
            </w:pPr>
            <w:r>
              <w:rPr>
                <w:rFonts w:ascii="宋体" w:hAnsi="宋体"/>
                <w:kern w:val="0"/>
                <w:sz w:val="18"/>
                <w:szCs w:val="18"/>
              </w:rPr>
              <w:t>步行街与城市无障碍路线</w:t>
            </w:r>
            <w:r>
              <w:rPr>
                <w:rFonts w:hint="eastAsia" w:ascii="宋体" w:hAnsi="宋体"/>
                <w:kern w:val="0"/>
                <w:sz w:val="18"/>
                <w:szCs w:val="18"/>
              </w:rPr>
              <w:t>无缝</w:t>
            </w:r>
            <w:r>
              <w:rPr>
                <w:rFonts w:ascii="宋体" w:hAnsi="宋体"/>
                <w:kern w:val="0"/>
                <w:sz w:val="18"/>
                <w:szCs w:val="18"/>
              </w:rPr>
              <w:t>连接</w:t>
            </w:r>
            <w:r>
              <w:rPr>
                <w:rFonts w:hint="eastAsia" w:ascii="宋体" w:hAnsi="宋体"/>
                <w:kern w:val="0"/>
                <w:sz w:val="18"/>
                <w:szCs w:val="18"/>
              </w:rPr>
              <w:t>，</w:t>
            </w:r>
            <w:r>
              <w:rPr>
                <w:rFonts w:hint="eastAsia"/>
                <w:sz w:val="18"/>
                <w:szCs w:val="18"/>
              </w:rPr>
              <w:t>无障碍设施处</w:t>
            </w:r>
            <w:r>
              <w:rPr>
                <w:sz w:val="18"/>
                <w:szCs w:val="18"/>
              </w:rPr>
              <w:t>设置相应的引导标识，台阶起止处</w:t>
            </w:r>
            <w:r>
              <w:rPr>
                <w:rFonts w:hint="eastAsia"/>
                <w:sz w:val="18"/>
                <w:szCs w:val="18"/>
              </w:rPr>
              <w:t>应</w:t>
            </w:r>
            <w:r>
              <w:rPr>
                <w:sz w:val="18"/>
                <w:szCs w:val="18"/>
              </w:rPr>
              <w:t>设置补充照明和提示盲道</w:t>
            </w:r>
            <w:r>
              <w:rPr>
                <w:rFonts w:hint="eastAsia"/>
                <w:sz w:val="18"/>
                <w:szCs w:val="18"/>
              </w:rPr>
              <w:t>，每缺失1处，扣2分，最多扣</w:t>
            </w:r>
            <w:r>
              <w:rPr>
                <w:rFonts w:hint="eastAsia" w:ascii="宋体" w:hAnsi="宋体"/>
                <w:kern w:val="0"/>
                <w:sz w:val="18"/>
                <w:szCs w:val="18"/>
              </w:rPr>
              <w:t>10分。</w:t>
            </w:r>
          </w:p>
          <w:p>
            <w:pPr>
              <w:jc w:val="left"/>
              <w:rPr>
                <w:rFonts w:ascii="宋体" w:hAnsi="宋体"/>
                <w:kern w:val="0"/>
                <w:sz w:val="18"/>
                <w:szCs w:val="18"/>
              </w:rPr>
            </w:pPr>
            <w:r>
              <w:rPr>
                <w:rFonts w:ascii="宋体" w:hAnsi="宋体"/>
                <w:kern w:val="0"/>
                <w:sz w:val="18"/>
                <w:szCs w:val="18"/>
              </w:rPr>
              <w:t>门店</w:t>
            </w:r>
            <w:r>
              <w:rPr>
                <w:rFonts w:hint="eastAsia" w:ascii="宋体" w:hAnsi="宋体"/>
                <w:kern w:val="0"/>
                <w:sz w:val="18"/>
                <w:szCs w:val="18"/>
              </w:rPr>
              <w:t>全部</w:t>
            </w:r>
            <w:r>
              <w:rPr>
                <w:rFonts w:ascii="宋体" w:hAnsi="宋体"/>
                <w:kern w:val="0"/>
                <w:sz w:val="18"/>
                <w:szCs w:val="18"/>
              </w:rPr>
              <w:t>无障碍出入，如受条件所限，高差台阶处无法设置坡道时，应设置求助服务电话或明确的无障碍路线导示标识</w:t>
            </w:r>
            <w:r>
              <w:rPr>
                <w:rFonts w:hint="eastAsia" w:ascii="宋体" w:hAnsi="宋体"/>
                <w:kern w:val="0"/>
                <w:sz w:val="18"/>
                <w:szCs w:val="18"/>
              </w:rPr>
              <w:t>，</w:t>
            </w:r>
            <w:r>
              <w:rPr>
                <w:rFonts w:hint="eastAsia"/>
                <w:sz w:val="18"/>
                <w:szCs w:val="18"/>
              </w:rPr>
              <w:t>每缺失1处，扣2分，最多扣</w:t>
            </w:r>
            <w:r>
              <w:rPr>
                <w:rFonts w:hint="eastAsia" w:ascii="宋体" w:hAnsi="宋体"/>
                <w:kern w:val="0"/>
                <w:sz w:val="18"/>
                <w:szCs w:val="18"/>
              </w:rPr>
              <w:t>10分。</w:t>
            </w:r>
          </w:p>
          <w:p>
            <w:pPr>
              <w:widowControl/>
              <w:jc w:val="left"/>
              <w:rPr>
                <w:rFonts w:ascii="宋体" w:hAnsi="宋体"/>
                <w:kern w:val="0"/>
                <w:sz w:val="18"/>
                <w:szCs w:val="18"/>
              </w:rPr>
            </w:pPr>
            <w:r>
              <w:rPr>
                <w:rFonts w:ascii="宋体" w:hAnsi="宋体"/>
                <w:kern w:val="0"/>
                <w:sz w:val="18"/>
                <w:szCs w:val="18"/>
              </w:rPr>
              <w:t>公共卫生间内应独立设置可满足家庭异性和母婴照顾的无障碍卫生间，并应设置相应的引导标识，公共卫生间内应设置无障碍厕位，无障碍小便池和无障碍洗手台</w:t>
            </w:r>
            <w:r>
              <w:rPr>
                <w:rFonts w:hint="eastAsia" w:ascii="宋体" w:hAnsi="宋体"/>
                <w:kern w:val="0"/>
                <w:sz w:val="18"/>
                <w:szCs w:val="18"/>
              </w:rPr>
              <w:t>，</w:t>
            </w:r>
            <w:r>
              <w:rPr>
                <w:rFonts w:hint="eastAsia"/>
                <w:sz w:val="18"/>
                <w:szCs w:val="18"/>
              </w:rPr>
              <w:t>每缺失1处，扣2分，最多扣</w:t>
            </w:r>
            <w:r>
              <w:rPr>
                <w:rFonts w:hint="eastAsia" w:ascii="宋体" w:hAnsi="宋体"/>
                <w:kern w:val="0"/>
                <w:sz w:val="18"/>
                <w:szCs w:val="18"/>
              </w:rPr>
              <w:t>10分</w:t>
            </w:r>
            <w:r>
              <w:rPr>
                <w:rFonts w:ascii="宋体" w:hAnsi="宋体"/>
                <w:kern w:val="0"/>
                <w:sz w:val="18"/>
                <w:szCs w:val="18"/>
              </w:rPr>
              <w:t>。</w:t>
            </w:r>
          </w:p>
          <w:p>
            <w:pPr>
              <w:widowControl/>
              <w:jc w:val="left"/>
              <w:rPr>
                <w:rFonts w:ascii="宋体" w:hAnsi="宋体"/>
                <w:kern w:val="0"/>
                <w:sz w:val="18"/>
                <w:szCs w:val="18"/>
              </w:rPr>
            </w:pPr>
            <w:r>
              <w:rPr>
                <w:rFonts w:ascii="宋体" w:hAnsi="宋体"/>
                <w:kern w:val="0"/>
                <w:sz w:val="18"/>
                <w:szCs w:val="18"/>
              </w:rPr>
              <w:t>公共空间每组座椅处应至少设置1处无障碍座椅，无障碍座椅应兼顾老年人助力起身的需求，设有无障碍助力扶手和靠背</w:t>
            </w:r>
            <w:r>
              <w:rPr>
                <w:rFonts w:hint="eastAsia" w:ascii="宋体" w:hAnsi="宋体"/>
                <w:kern w:val="0"/>
                <w:sz w:val="18"/>
                <w:szCs w:val="18"/>
              </w:rPr>
              <w:t>，</w:t>
            </w:r>
            <w:r>
              <w:rPr>
                <w:rFonts w:hint="eastAsia"/>
                <w:sz w:val="18"/>
                <w:szCs w:val="18"/>
              </w:rPr>
              <w:t>每缺失1处，扣1分，最多扣</w:t>
            </w:r>
            <w:r>
              <w:rPr>
                <w:rFonts w:hint="eastAsia" w:ascii="宋体" w:hAnsi="宋体"/>
                <w:kern w:val="0"/>
                <w:sz w:val="18"/>
                <w:szCs w:val="18"/>
              </w:rPr>
              <w:t>5分</w:t>
            </w:r>
            <w:r>
              <w:rPr>
                <w:rFonts w:ascii="宋体" w:hAnsi="宋体"/>
                <w:kern w:val="0"/>
                <w:sz w:val="18"/>
                <w:szCs w:val="18"/>
              </w:rPr>
              <w:t>。</w:t>
            </w:r>
          </w:p>
          <w:p>
            <w:pPr>
              <w:widowControl/>
              <w:jc w:val="left"/>
              <w:rPr>
                <w:rFonts w:ascii="宋体" w:hAnsi="宋体"/>
                <w:kern w:val="0"/>
                <w:sz w:val="18"/>
                <w:szCs w:val="18"/>
              </w:rPr>
            </w:pPr>
            <w:r>
              <w:rPr>
                <w:rFonts w:hint="eastAsia" w:ascii="宋体" w:hAnsi="宋体"/>
                <w:kern w:val="0"/>
                <w:sz w:val="18"/>
                <w:szCs w:val="18"/>
              </w:rPr>
              <w:t>有</w:t>
            </w:r>
            <w:r>
              <w:rPr>
                <w:rFonts w:ascii="宋体" w:hAnsi="宋体"/>
                <w:kern w:val="0"/>
                <w:sz w:val="18"/>
                <w:szCs w:val="18"/>
              </w:rPr>
              <w:t>老年人轮椅、婴儿车租赁服务设施</w:t>
            </w:r>
            <w:r>
              <w:rPr>
                <w:rFonts w:hint="eastAsia" w:ascii="宋体" w:hAnsi="宋体"/>
                <w:kern w:val="0"/>
                <w:sz w:val="18"/>
                <w:szCs w:val="18"/>
              </w:rPr>
              <w:t>，得5分</w:t>
            </w:r>
            <w:r>
              <w:rPr>
                <w:rFonts w:ascii="宋体" w:hAnsi="宋体"/>
                <w:kern w:val="0"/>
                <w:sz w:val="18"/>
                <w:szCs w:val="18"/>
              </w:rPr>
              <w:t>。</w:t>
            </w:r>
          </w:p>
        </w:tc>
      </w:tr>
      <w:tr>
        <w:trPr>
          <w:trHeight w:val="769" w:hRule="atLeast"/>
        </w:trPr>
        <w:tc>
          <w:tcPr>
            <w:tcW w:w="1570" w:type="dxa"/>
            <w:gridSpan w:val="2"/>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有治安亭或报警点、防暴设施和应急避难场所。（10分）</w:t>
            </w:r>
          </w:p>
        </w:tc>
        <w:tc>
          <w:tcPr>
            <w:tcW w:w="6835" w:type="dxa"/>
            <w:gridSpan w:val="2"/>
            <w:vAlign w:val="center"/>
          </w:tcPr>
          <w:p>
            <w:pPr>
              <w:widowControl/>
              <w:jc w:val="left"/>
              <w:rPr>
                <w:rFonts w:ascii="宋体" w:hAnsi="宋体"/>
                <w:sz w:val="18"/>
                <w:szCs w:val="18"/>
              </w:rPr>
            </w:pPr>
            <w:r>
              <w:rPr>
                <w:rFonts w:hint="eastAsia" w:ascii="宋体" w:hAnsi="宋体"/>
                <w:kern w:val="0"/>
                <w:sz w:val="18"/>
                <w:szCs w:val="18"/>
              </w:rPr>
              <w:t>现场查看治安亭或报警点、防暴设施和应急避难场所等设施情况，每缺失一项，扣5分，最多扣10分。</w:t>
            </w:r>
          </w:p>
        </w:tc>
      </w:tr>
      <w:tr>
        <w:trPr>
          <w:trHeight w:val="567" w:hRule="atLeast"/>
        </w:trPr>
        <w:tc>
          <w:tcPr>
            <w:tcW w:w="14174" w:type="dxa"/>
            <w:gridSpan w:val="5"/>
            <w:tcBorders>
              <w:bottom w:val="single" w:color="auto" w:sz="4" w:space="0"/>
            </w:tcBorders>
            <w:shd w:val="clear" w:color="auto" w:fill="F2F2F2"/>
            <w:vAlign w:val="center"/>
          </w:tcPr>
          <w:p>
            <w:pPr>
              <w:widowControl/>
              <w:jc w:val="left"/>
              <w:rPr>
                <w:rFonts w:ascii="宋体" w:hAnsi="宋体"/>
                <w:kern w:val="0"/>
                <w:sz w:val="18"/>
                <w:szCs w:val="18"/>
              </w:rPr>
            </w:pPr>
            <w:r>
              <w:rPr>
                <w:rFonts w:hint="eastAsia" w:ascii="黑体" w:hAnsi="黑体" w:eastAsia="黑体"/>
                <w:b/>
                <w:sz w:val="24"/>
              </w:rPr>
              <w:t>三、功能品质（160分）</w:t>
            </w:r>
          </w:p>
        </w:tc>
      </w:tr>
      <w:tr>
        <w:trPr>
          <w:trHeight w:val="410" w:hRule="atLeast"/>
          <w:tblHeader/>
        </w:trPr>
        <w:tc>
          <w:tcPr>
            <w:tcW w:w="1570" w:type="dxa"/>
            <w:gridSpan w:val="2"/>
            <w:vAlign w:val="center"/>
          </w:tcPr>
          <w:p>
            <w:pPr>
              <w:widowControl/>
              <w:jc w:val="center"/>
              <w:rPr>
                <w:rFonts w:ascii="黑体" w:hAnsi="黑体" w:eastAsia="黑体"/>
                <w:kern w:val="0"/>
                <w:szCs w:val="21"/>
              </w:rPr>
            </w:pPr>
            <w:r>
              <w:rPr>
                <w:rFonts w:hint="eastAsia" w:ascii="黑体" w:hAnsi="黑体" w:eastAsia="黑体"/>
                <w:kern w:val="0"/>
                <w:szCs w:val="21"/>
              </w:rPr>
              <w:t>评分指标</w:t>
            </w:r>
          </w:p>
        </w:tc>
        <w:tc>
          <w:tcPr>
            <w:tcW w:w="5769" w:type="dxa"/>
            <w:vAlign w:val="center"/>
          </w:tcPr>
          <w:p>
            <w:pPr>
              <w:widowControl/>
              <w:jc w:val="center"/>
              <w:rPr>
                <w:rFonts w:ascii="黑体" w:hAnsi="黑体" w:eastAsia="黑体"/>
                <w:kern w:val="0"/>
                <w:szCs w:val="21"/>
              </w:rPr>
            </w:pPr>
            <w:r>
              <w:rPr>
                <w:rFonts w:hint="eastAsia" w:ascii="黑体" w:hAnsi="黑体" w:eastAsia="黑体"/>
                <w:kern w:val="0"/>
                <w:szCs w:val="21"/>
              </w:rPr>
              <w:t>评分标准</w:t>
            </w:r>
          </w:p>
        </w:tc>
        <w:tc>
          <w:tcPr>
            <w:tcW w:w="6835" w:type="dxa"/>
            <w:gridSpan w:val="2"/>
            <w:vAlign w:val="center"/>
          </w:tcPr>
          <w:p>
            <w:pPr>
              <w:widowControl/>
              <w:jc w:val="center"/>
              <w:rPr>
                <w:rFonts w:ascii="黑体" w:hAnsi="黑体" w:eastAsia="黑体"/>
                <w:kern w:val="0"/>
                <w:szCs w:val="21"/>
              </w:rPr>
            </w:pPr>
            <w:r>
              <w:rPr>
                <w:rFonts w:hint="eastAsia" w:ascii="黑体" w:hAnsi="黑体" w:eastAsia="黑体"/>
                <w:kern w:val="0"/>
                <w:szCs w:val="21"/>
              </w:rPr>
              <w:t>评分说明</w:t>
            </w:r>
          </w:p>
        </w:tc>
      </w:tr>
      <w:tr>
        <w:trPr>
          <w:trHeight w:val="841" w:hRule="atLeast"/>
        </w:trPr>
        <w:tc>
          <w:tcPr>
            <w:tcW w:w="538" w:type="dxa"/>
            <w:vMerge w:val="restart"/>
            <w:vAlign w:val="center"/>
          </w:tcPr>
          <w:p>
            <w:pPr>
              <w:widowControl/>
              <w:jc w:val="center"/>
              <w:rPr>
                <w:rFonts w:ascii="宋体" w:hAnsi="宋体"/>
                <w:b/>
                <w:kern w:val="0"/>
                <w:sz w:val="18"/>
                <w:szCs w:val="18"/>
              </w:rPr>
            </w:pPr>
            <w:r>
              <w:rPr>
                <w:rFonts w:hint="eastAsia" w:ascii="宋体" w:hAnsi="宋体"/>
                <w:b/>
                <w:kern w:val="0"/>
                <w:sz w:val="18"/>
                <w:szCs w:val="18"/>
              </w:rPr>
              <w:t>综</w:t>
            </w:r>
          </w:p>
          <w:p>
            <w:pPr>
              <w:widowControl/>
              <w:jc w:val="center"/>
              <w:rPr>
                <w:rFonts w:ascii="宋体" w:hAnsi="宋体"/>
                <w:b/>
                <w:kern w:val="0"/>
                <w:sz w:val="18"/>
                <w:szCs w:val="18"/>
              </w:rPr>
            </w:pPr>
            <w:r>
              <w:rPr>
                <w:rFonts w:hint="eastAsia" w:ascii="宋体" w:hAnsi="宋体"/>
                <w:b/>
                <w:kern w:val="0"/>
                <w:sz w:val="18"/>
                <w:szCs w:val="18"/>
              </w:rPr>
              <w:t>合</w:t>
            </w:r>
          </w:p>
          <w:p>
            <w:pPr>
              <w:widowControl/>
              <w:jc w:val="center"/>
              <w:rPr>
                <w:rFonts w:ascii="宋体" w:hAnsi="宋体"/>
                <w:kern w:val="0"/>
                <w:sz w:val="18"/>
                <w:szCs w:val="18"/>
              </w:rPr>
            </w:pPr>
            <w:r>
              <w:rPr>
                <w:rFonts w:hint="eastAsia" w:ascii="宋体" w:hAnsi="宋体"/>
                <w:b/>
                <w:kern w:val="0"/>
                <w:sz w:val="18"/>
                <w:szCs w:val="18"/>
              </w:rPr>
              <w:t>型</w:t>
            </w:r>
          </w:p>
        </w:tc>
        <w:tc>
          <w:tcPr>
            <w:tcW w:w="1032" w:type="dxa"/>
            <w:vMerge w:val="restart"/>
            <w:vAlign w:val="center"/>
          </w:tcPr>
          <w:p>
            <w:pPr>
              <w:jc w:val="center"/>
              <w:rPr>
                <w:rFonts w:ascii="宋体" w:hAnsi="宋体"/>
                <w:b/>
                <w:kern w:val="0"/>
                <w:sz w:val="18"/>
                <w:szCs w:val="18"/>
              </w:rPr>
            </w:pPr>
            <w:r>
              <w:rPr>
                <w:rFonts w:hint="eastAsia" w:ascii="宋体" w:hAnsi="宋体"/>
                <w:b/>
                <w:kern w:val="0"/>
                <w:sz w:val="18"/>
                <w:szCs w:val="18"/>
              </w:rPr>
              <w:t>业态</w:t>
            </w:r>
          </w:p>
          <w:p>
            <w:pPr>
              <w:jc w:val="center"/>
              <w:rPr>
                <w:rFonts w:ascii="宋体" w:hAnsi="宋体"/>
                <w:b/>
                <w:kern w:val="0"/>
                <w:sz w:val="18"/>
                <w:szCs w:val="18"/>
              </w:rPr>
            </w:pPr>
            <w:r>
              <w:rPr>
                <w:rFonts w:hint="eastAsia" w:ascii="宋体" w:hAnsi="宋体"/>
                <w:b/>
                <w:kern w:val="0"/>
                <w:sz w:val="18"/>
                <w:szCs w:val="18"/>
              </w:rPr>
              <w:t>多样</w:t>
            </w:r>
          </w:p>
          <w:p>
            <w:pPr>
              <w:jc w:val="center"/>
              <w:rPr>
                <w:rFonts w:ascii="宋体" w:hAnsi="宋体"/>
                <w:kern w:val="0"/>
                <w:sz w:val="18"/>
                <w:szCs w:val="18"/>
              </w:rPr>
            </w:pPr>
            <w:r>
              <w:rPr>
                <w:rFonts w:hint="eastAsia" w:ascii="宋体" w:hAnsi="宋体"/>
                <w:b/>
                <w:kern w:val="0"/>
                <w:sz w:val="18"/>
                <w:szCs w:val="18"/>
              </w:rPr>
              <w:t>(60分)</w:t>
            </w:r>
          </w:p>
        </w:tc>
        <w:tc>
          <w:tcPr>
            <w:tcW w:w="5769" w:type="dxa"/>
            <w:vAlign w:val="center"/>
          </w:tcPr>
          <w:p>
            <w:pPr>
              <w:widowControl/>
              <w:rPr>
                <w:rFonts w:ascii="宋体" w:hAnsi="宋体"/>
                <w:kern w:val="0"/>
                <w:sz w:val="18"/>
                <w:szCs w:val="18"/>
              </w:rPr>
            </w:pPr>
            <w:r>
              <w:rPr>
                <w:rFonts w:hint="eastAsia" w:ascii="宋体" w:hAnsi="宋体"/>
                <w:kern w:val="0"/>
                <w:sz w:val="18"/>
                <w:szCs w:val="18"/>
              </w:rPr>
              <w:t>业态丰富，有满足购物、餐饮、休闲娱乐、文化体验等综合消费需求的经营业态，业态结构合理。（20分）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提供街区门店业态分布表（按门店数和经营面积），结合专家实地调查评估业态丰富度和结构合理性，最多得20分。（参考结构：零售业态占比不低于50%，不超过70%）</w:t>
            </w:r>
          </w:p>
        </w:tc>
      </w:tr>
      <w:tr>
        <w:trPr>
          <w:trHeight w:val="839" w:hRule="atLeast"/>
        </w:trPr>
        <w:tc>
          <w:tcPr>
            <w:tcW w:w="538" w:type="dxa"/>
            <w:vMerge w:val="continue"/>
            <w:vAlign w:val="center"/>
          </w:tcPr>
          <w:p>
            <w:pPr>
              <w:widowControl/>
              <w:jc w:val="center"/>
              <w:rPr>
                <w:rFonts w:ascii="宋体" w:hAnsi="宋体"/>
                <w:kern w:val="0"/>
                <w:sz w:val="18"/>
                <w:szCs w:val="18"/>
              </w:rPr>
            </w:pPr>
          </w:p>
        </w:tc>
        <w:tc>
          <w:tcPr>
            <w:tcW w:w="1032" w:type="dxa"/>
            <w:vMerge w:val="continue"/>
            <w:vAlign w:val="center"/>
          </w:tcPr>
          <w:p>
            <w:pPr>
              <w:widowControl/>
              <w:jc w:val="center"/>
              <w:rPr>
                <w:rFonts w:ascii="宋体" w:hAnsi="宋体"/>
                <w:kern w:val="0"/>
                <w:sz w:val="18"/>
                <w:szCs w:val="18"/>
              </w:rPr>
            </w:pPr>
          </w:p>
        </w:tc>
        <w:tc>
          <w:tcPr>
            <w:tcW w:w="5769" w:type="dxa"/>
            <w:vAlign w:val="center"/>
          </w:tcPr>
          <w:p>
            <w:pPr>
              <w:widowControl/>
              <w:rPr>
                <w:rFonts w:ascii="宋体" w:hAnsi="宋体"/>
                <w:kern w:val="0"/>
                <w:sz w:val="18"/>
                <w:szCs w:val="18"/>
              </w:rPr>
            </w:pPr>
            <w:r>
              <w:rPr>
                <w:rFonts w:hint="eastAsia" w:ascii="宋体" w:hAnsi="宋体"/>
                <w:kern w:val="0"/>
                <w:sz w:val="18"/>
                <w:szCs w:val="18"/>
              </w:rPr>
              <w:t>门店分布均衡，商业功能关联度高、商业连续性好。（20分）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提供街区门店和业态分布平面图，结合专家实地调查评估，最多得20分。</w:t>
            </w:r>
          </w:p>
        </w:tc>
      </w:tr>
      <w:tr>
        <w:trPr>
          <w:trHeight w:val="836" w:hRule="atLeast"/>
        </w:trPr>
        <w:tc>
          <w:tcPr>
            <w:tcW w:w="538" w:type="dxa"/>
            <w:vMerge w:val="continue"/>
            <w:vAlign w:val="center"/>
          </w:tcPr>
          <w:p>
            <w:pPr>
              <w:widowControl/>
              <w:jc w:val="center"/>
              <w:rPr>
                <w:rFonts w:ascii="宋体" w:hAnsi="宋体"/>
                <w:kern w:val="0"/>
                <w:sz w:val="18"/>
                <w:szCs w:val="18"/>
              </w:rPr>
            </w:pPr>
          </w:p>
        </w:tc>
        <w:tc>
          <w:tcPr>
            <w:tcW w:w="1032" w:type="dxa"/>
            <w:vMerge w:val="continue"/>
            <w:vAlign w:val="center"/>
          </w:tcPr>
          <w:p>
            <w:pPr>
              <w:widowControl/>
              <w:jc w:val="center"/>
              <w:rPr>
                <w:rFonts w:ascii="宋体" w:hAnsi="宋体"/>
                <w:kern w:val="0"/>
                <w:sz w:val="18"/>
                <w:szCs w:val="18"/>
              </w:rPr>
            </w:pPr>
          </w:p>
        </w:tc>
        <w:tc>
          <w:tcPr>
            <w:tcW w:w="5769" w:type="dxa"/>
            <w:vAlign w:val="center"/>
          </w:tcPr>
          <w:p>
            <w:pPr>
              <w:widowControl/>
              <w:rPr>
                <w:rFonts w:ascii="宋体" w:hAnsi="宋体"/>
                <w:kern w:val="0"/>
                <w:sz w:val="18"/>
                <w:szCs w:val="18"/>
              </w:rPr>
            </w:pPr>
            <w:r>
              <w:rPr>
                <w:rFonts w:hint="eastAsia" w:ascii="宋体" w:hAnsi="宋体"/>
                <w:kern w:val="0"/>
                <w:sz w:val="18"/>
                <w:szCs w:val="18"/>
              </w:rPr>
              <w:t>有一定创新性和引领性的业态、门店或经营方式。（20分）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提供相关门店获主管部门、行业组织、专业媒体重点推广的书面材料，结合专家实地调查评估，</w:t>
            </w:r>
            <w:r>
              <w:rPr>
                <w:rFonts w:hint="eastAsia" w:ascii="宋体" w:hAnsi="宋体"/>
                <w:sz w:val="18"/>
                <w:szCs w:val="18"/>
              </w:rPr>
              <w:t>最多得20分</w:t>
            </w:r>
            <w:r>
              <w:rPr>
                <w:rFonts w:hint="eastAsia" w:ascii="宋体" w:hAnsi="宋体"/>
                <w:kern w:val="0"/>
                <w:sz w:val="18"/>
                <w:szCs w:val="18"/>
              </w:rPr>
              <w:t>。</w:t>
            </w:r>
          </w:p>
        </w:tc>
      </w:tr>
      <w:tr>
        <w:trPr>
          <w:trHeight w:val="693" w:hRule="atLeast"/>
        </w:trPr>
        <w:tc>
          <w:tcPr>
            <w:tcW w:w="538" w:type="dxa"/>
            <w:vMerge w:val="continue"/>
            <w:vAlign w:val="center"/>
          </w:tcPr>
          <w:p>
            <w:pPr>
              <w:widowControl/>
              <w:jc w:val="center"/>
              <w:rPr>
                <w:rFonts w:ascii="宋体" w:hAnsi="宋体"/>
                <w:kern w:val="0"/>
                <w:sz w:val="18"/>
                <w:szCs w:val="18"/>
              </w:rPr>
            </w:pPr>
          </w:p>
        </w:tc>
        <w:tc>
          <w:tcPr>
            <w:tcW w:w="1032" w:type="dxa"/>
            <w:vMerge w:val="restart"/>
            <w:vAlign w:val="center"/>
          </w:tcPr>
          <w:p>
            <w:pPr>
              <w:jc w:val="center"/>
              <w:rPr>
                <w:rFonts w:ascii="宋体" w:hAnsi="宋体"/>
                <w:b/>
                <w:kern w:val="0"/>
                <w:sz w:val="18"/>
                <w:szCs w:val="18"/>
              </w:rPr>
            </w:pPr>
            <w:r>
              <w:rPr>
                <w:rFonts w:hint="eastAsia" w:ascii="宋体" w:hAnsi="宋体"/>
                <w:b/>
                <w:kern w:val="0"/>
                <w:sz w:val="18"/>
                <w:szCs w:val="18"/>
              </w:rPr>
              <w:t>品牌</w:t>
            </w:r>
          </w:p>
          <w:p>
            <w:pPr>
              <w:jc w:val="center"/>
              <w:rPr>
                <w:rFonts w:ascii="宋体" w:hAnsi="宋体"/>
                <w:b/>
                <w:kern w:val="0"/>
                <w:sz w:val="18"/>
                <w:szCs w:val="18"/>
              </w:rPr>
            </w:pPr>
            <w:r>
              <w:rPr>
                <w:rFonts w:hint="eastAsia" w:ascii="宋体" w:hAnsi="宋体"/>
                <w:b/>
                <w:kern w:val="0"/>
                <w:sz w:val="18"/>
                <w:szCs w:val="18"/>
              </w:rPr>
              <w:t>丰富</w:t>
            </w:r>
          </w:p>
          <w:p>
            <w:pPr>
              <w:jc w:val="center"/>
              <w:rPr>
                <w:rFonts w:ascii="宋体" w:hAnsi="宋体"/>
                <w:kern w:val="0"/>
                <w:sz w:val="18"/>
                <w:szCs w:val="18"/>
              </w:rPr>
            </w:pPr>
            <w:r>
              <w:rPr>
                <w:rFonts w:hint="eastAsia" w:ascii="宋体" w:hAnsi="宋体"/>
                <w:b/>
                <w:kern w:val="0"/>
                <w:sz w:val="18"/>
                <w:szCs w:val="18"/>
              </w:rPr>
              <w:t>(100分)</w:t>
            </w:r>
          </w:p>
        </w:tc>
        <w:tc>
          <w:tcPr>
            <w:tcW w:w="5769" w:type="dxa"/>
            <w:vAlign w:val="center"/>
          </w:tcPr>
          <w:p>
            <w:pPr>
              <w:rPr>
                <w:rFonts w:ascii="宋体" w:hAnsi="宋体"/>
                <w:kern w:val="0"/>
                <w:sz w:val="18"/>
                <w:szCs w:val="18"/>
              </w:rPr>
            </w:pPr>
            <w:r>
              <w:rPr>
                <w:rFonts w:hint="eastAsia" w:ascii="宋体" w:hAnsi="宋体"/>
                <w:kern w:val="0"/>
                <w:sz w:val="18"/>
                <w:szCs w:val="18"/>
              </w:rPr>
              <w:t>独立门店或专柜的品牌丰富（同一品牌不重复计算）。（50分）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提供有独立门店或专柜的品牌名单。符合条件的品牌每10个得1分，</w:t>
            </w:r>
            <w:r>
              <w:rPr>
                <w:rFonts w:hint="eastAsia" w:ascii="宋体" w:hAnsi="宋体"/>
                <w:kern w:val="0"/>
                <w:sz w:val="18"/>
                <w:szCs w:val="18"/>
              </w:rPr>
              <w:t>最多得50分。</w:t>
            </w:r>
          </w:p>
        </w:tc>
      </w:tr>
      <w:tr>
        <w:trPr>
          <w:trHeight w:val="703" w:hRule="atLeast"/>
        </w:trPr>
        <w:tc>
          <w:tcPr>
            <w:tcW w:w="538" w:type="dxa"/>
            <w:vMerge w:val="continue"/>
            <w:vAlign w:val="center"/>
          </w:tcPr>
          <w:p>
            <w:pPr>
              <w:widowControl/>
              <w:jc w:val="center"/>
              <w:rPr>
                <w:rFonts w:ascii="宋体" w:hAnsi="宋体"/>
                <w:kern w:val="0"/>
                <w:sz w:val="18"/>
                <w:szCs w:val="18"/>
              </w:rPr>
            </w:pPr>
          </w:p>
        </w:tc>
        <w:tc>
          <w:tcPr>
            <w:tcW w:w="1032" w:type="dxa"/>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有国内外连锁品牌总店、旗舰店、区域首店等品牌店。（50分）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需提供相关品牌授权经营文件。符合条件的品牌店每个得2分，最多得50分。</w:t>
            </w:r>
          </w:p>
        </w:tc>
      </w:tr>
      <w:tr>
        <w:trPr>
          <w:trHeight w:val="698" w:hRule="atLeast"/>
        </w:trPr>
        <w:tc>
          <w:tcPr>
            <w:tcW w:w="538" w:type="dxa"/>
            <w:vMerge w:val="restart"/>
            <w:vAlign w:val="center"/>
          </w:tcPr>
          <w:p>
            <w:pPr>
              <w:widowControl/>
              <w:jc w:val="center"/>
              <w:rPr>
                <w:rFonts w:ascii="宋体" w:hAnsi="宋体"/>
                <w:b/>
                <w:kern w:val="0"/>
                <w:sz w:val="18"/>
                <w:szCs w:val="18"/>
              </w:rPr>
            </w:pPr>
            <w:r>
              <w:rPr>
                <w:rFonts w:hint="eastAsia" w:ascii="宋体" w:hAnsi="宋体"/>
                <w:b/>
                <w:kern w:val="0"/>
                <w:sz w:val="18"/>
                <w:szCs w:val="18"/>
              </w:rPr>
              <w:t>特</w:t>
            </w:r>
          </w:p>
          <w:p>
            <w:pPr>
              <w:widowControl/>
              <w:jc w:val="center"/>
              <w:rPr>
                <w:rFonts w:ascii="宋体" w:hAnsi="宋体"/>
                <w:b/>
                <w:kern w:val="0"/>
                <w:sz w:val="18"/>
                <w:szCs w:val="18"/>
              </w:rPr>
            </w:pPr>
            <w:r>
              <w:rPr>
                <w:rFonts w:hint="eastAsia" w:ascii="宋体" w:hAnsi="宋体"/>
                <w:b/>
                <w:kern w:val="0"/>
                <w:sz w:val="18"/>
                <w:szCs w:val="18"/>
              </w:rPr>
              <w:t>色</w:t>
            </w:r>
          </w:p>
          <w:p>
            <w:pPr>
              <w:widowControl/>
              <w:jc w:val="center"/>
              <w:rPr>
                <w:rFonts w:ascii="宋体" w:hAnsi="宋体"/>
                <w:kern w:val="0"/>
                <w:sz w:val="18"/>
                <w:szCs w:val="18"/>
              </w:rPr>
            </w:pPr>
            <w:r>
              <w:rPr>
                <w:rFonts w:hint="eastAsia" w:ascii="宋体" w:hAnsi="宋体"/>
                <w:b/>
                <w:kern w:val="0"/>
                <w:sz w:val="18"/>
                <w:szCs w:val="18"/>
              </w:rPr>
              <w:t>型</w:t>
            </w:r>
          </w:p>
        </w:tc>
        <w:tc>
          <w:tcPr>
            <w:tcW w:w="1032" w:type="dxa"/>
            <w:vMerge w:val="restart"/>
            <w:vAlign w:val="center"/>
          </w:tcPr>
          <w:p>
            <w:pPr>
              <w:jc w:val="center"/>
              <w:rPr>
                <w:rFonts w:ascii="宋体" w:hAnsi="宋体"/>
                <w:b/>
                <w:kern w:val="0"/>
                <w:sz w:val="18"/>
                <w:szCs w:val="18"/>
              </w:rPr>
            </w:pPr>
            <w:r>
              <w:rPr>
                <w:rFonts w:hint="eastAsia" w:ascii="宋体" w:hAnsi="宋体"/>
                <w:b/>
                <w:kern w:val="0"/>
                <w:sz w:val="18"/>
                <w:szCs w:val="18"/>
              </w:rPr>
              <w:t>业态</w:t>
            </w:r>
          </w:p>
          <w:p>
            <w:pPr>
              <w:jc w:val="center"/>
              <w:rPr>
                <w:rFonts w:ascii="宋体" w:hAnsi="宋体"/>
                <w:b/>
                <w:kern w:val="0"/>
                <w:sz w:val="18"/>
                <w:szCs w:val="18"/>
              </w:rPr>
            </w:pPr>
            <w:r>
              <w:rPr>
                <w:rFonts w:hint="eastAsia" w:ascii="宋体" w:hAnsi="宋体"/>
                <w:b/>
                <w:kern w:val="0"/>
                <w:sz w:val="18"/>
                <w:szCs w:val="18"/>
              </w:rPr>
              <w:t>集聚</w:t>
            </w:r>
          </w:p>
          <w:p>
            <w:pPr>
              <w:jc w:val="center"/>
              <w:rPr>
                <w:rFonts w:ascii="宋体" w:hAnsi="宋体"/>
                <w:kern w:val="0"/>
                <w:sz w:val="18"/>
                <w:szCs w:val="18"/>
              </w:rPr>
            </w:pPr>
            <w:r>
              <w:rPr>
                <w:rFonts w:hint="eastAsia" w:ascii="宋体" w:hAnsi="宋体"/>
                <w:b/>
                <w:kern w:val="0"/>
                <w:sz w:val="18"/>
                <w:szCs w:val="18"/>
              </w:rPr>
              <w:t>(50分)</w:t>
            </w:r>
          </w:p>
        </w:tc>
        <w:tc>
          <w:tcPr>
            <w:tcW w:w="5769" w:type="dxa"/>
            <w:vAlign w:val="center"/>
          </w:tcPr>
          <w:p>
            <w:pPr>
              <w:rPr>
                <w:rFonts w:ascii="宋体" w:hAnsi="宋体"/>
                <w:kern w:val="0"/>
                <w:sz w:val="18"/>
                <w:szCs w:val="18"/>
              </w:rPr>
            </w:pPr>
            <w:r>
              <w:rPr>
                <w:rFonts w:hint="eastAsia" w:ascii="宋体" w:hAnsi="宋体"/>
                <w:kern w:val="0"/>
                <w:sz w:val="18"/>
                <w:szCs w:val="18"/>
              </w:rPr>
              <w:t>业态定位明确，特点突出，满足特定消费需求。（30分）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提供书面材料说明街区业态定位及特点，结合专家实地调查评估评分，最多得30分。</w:t>
            </w:r>
          </w:p>
        </w:tc>
      </w:tr>
      <w:tr>
        <w:trPr>
          <w:trHeight w:val="850" w:hRule="atLeast"/>
        </w:trPr>
        <w:tc>
          <w:tcPr>
            <w:tcW w:w="538" w:type="dxa"/>
            <w:vMerge w:val="continue"/>
            <w:vAlign w:val="center"/>
          </w:tcPr>
          <w:p>
            <w:pPr>
              <w:widowControl/>
              <w:jc w:val="center"/>
              <w:rPr>
                <w:rFonts w:ascii="宋体" w:hAnsi="宋体"/>
                <w:kern w:val="0"/>
                <w:sz w:val="18"/>
                <w:szCs w:val="18"/>
              </w:rPr>
            </w:pPr>
          </w:p>
        </w:tc>
        <w:tc>
          <w:tcPr>
            <w:tcW w:w="1032" w:type="dxa"/>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有美术馆、艺术馆、博物馆或非物质文化遗产等文化展示及体验互动场所。（20分）</w:t>
            </w:r>
          </w:p>
        </w:tc>
        <w:tc>
          <w:tcPr>
            <w:tcW w:w="6835" w:type="dxa"/>
            <w:gridSpan w:val="2"/>
            <w:vAlign w:val="center"/>
          </w:tcPr>
          <w:p>
            <w:pPr>
              <w:widowControl/>
              <w:jc w:val="left"/>
              <w:rPr>
                <w:rFonts w:ascii="宋体" w:hAnsi="宋体"/>
                <w:sz w:val="18"/>
                <w:szCs w:val="18"/>
              </w:rPr>
            </w:pPr>
            <w:r>
              <w:rPr>
                <w:rFonts w:hint="eastAsia" w:ascii="宋体" w:hAnsi="宋体"/>
                <w:kern w:val="0"/>
                <w:sz w:val="18"/>
                <w:szCs w:val="18"/>
              </w:rPr>
              <w:t>有美术馆、艺术馆、博物馆或非物质文化遗产等文化展示及体验互动场所，每1处得2分，最多20分。</w:t>
            </w:r>
          </w:p>
        </w:tc>
      </w:tr>
      <w:tr>
        <w:trPr>
          <w:trHeight w:val="411" w:hRule="atLeast"/>
        </w:trPr>
        <w:tc>
          <w:tcPr>
            <w:tcW w:w="538" w:type="dxa"/>
            <w:vMerge w:val="continue"/>
            <w:vAlign w:val="center"/>
          </w:tcPr>
          <w:p>
            <w:pPr>
              <w:widowControl/>
              <w:jc w:val="center"/>
              <w:rPr>
                <w:rFonts w:ascii="宋体" w:hAnsi="宋体"/>
                <w:kern w:val="0"/>
                <w:sz w:val="18"/>
                <w:szCs w:val="18"/>
              </w:rPr>
            </w:pPr>
          </w:p>
        </w:tc>
        <w:tc>
          <w:tcPr>
            <w:tcW w:w="1032" w:type="dxa"/>
            <w:vMerge w:val="restart"/>
            <w:vAlign w:val="center"/>
          </w:tcPr>
          <w:p>
            <w:pPr>
              <w:jc w:val="center"/>
              <w:rPr>
                <w:rFonts w:ascii="宋体" w:hAnsi="宋体"/>
                <w:b/>
                <w:kern w:val="0"/>
                <w:sz w:val="18"/>
                <w:szCs w:val="18"/>
              </w:rPr>
            </w:pPr>
            <w:r>
              <w:rPr>
                <w:rFonts w:hint="eastAsia" w:ascii="宋体" w:hAnsi="宋体"/>
                <w:b/>
                <w:kern w:val="0"/>
                <w:sz w:val="18"/>
                <w:szCs w:val="18"/>
              </w:rPr>
              <w:t>品牌</w:t>
            </w:r>
          </w:p>
          <w:p>
            <w:pPr>
              <w:jc w:val="center"/>
              <w:rPr>
                <w:rFonts w:ascii="宋体" w:hAnsi="宋体"/>
                <w:b/>
                <w:kern w:val="0"/>
                <w:sz w:val="18"/>
                <w:szCs w:val="18"/>
              </w:rPr>
            </w:pPr>
            <w:r>
              <w:rPr>
                <w:rFonts w:hint="eastAsia" w:ascii="宋体" w:hAnsi="宋体"/>
                <w:b/>
                <w:kern w:val="0"/>
                <w:sz w:val="18"/>
                <w:szCs w:val="18"/>
              </w:rPr>
              <w:t>独特</w:t>
            </w:r>
          </w:p>
          <w:p>
            <w:pPr>
              <w:jc w:val="center"/>
              <w:rPr>
                <w:rFonts w:ascii="宋体" w:hAnsi="宋体"/>
                <w:kern w:val="0"/>
                <w:sz w:val="18"/>
                <w:szCs w:val="18"/>
              </w:rPr>
            </w:pPr>
            <w:r>
              <w:rPr>
                <w:rFonts w:hint="eastAsia" w:ascii="宋体" w:hAnsi="宋体"/>
                <w:b/>
                <w:kern w:val="0"/>
                <w:sz w:val="18"/>
                <w:szCs w:val="18"/>
              </w:rPr>
              <w:t>(110分)</w:t>
            </w:r>
          </w:p>
        </w:tc>
        <w:tc>
          <w:tcPr>
            <w:tcW w:w="5769" w:type="dxa"/>
            <w:vAlign w:val="center"/>
          </w:tcPr>
          <w:p>
            <w:pPr>
              <w:widowControl/>
              <w:rPr>
                <w:rFonts w:ascii="宋体" w:hAnsi="宋体"/>
                <w:kern w:val="0"/>
                <w:sz w:val="18"/>
                <w:szCs w:val="18"/>
              </w:rPr>
            </w:pPr>
            <w:r>
              <w:rPr>
                <w:rFonts w:hint="eastAsia" w:ascii="宋体" w:hAnsi="宋体"/>
                <w:kern w:val="0"/>
                <w:sz w:val="18"/>
                <w:szCs w:val="18"/>
              </w:rPr>
              <w:t>国内外特色品牌丰富，有独立门店的中华老字号、地方老字号、地方特色美食、传统手工艺、文化创意、国外特色等品牌（同一品牌不重复计算）。（60分）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提供特色品牌的名单，按</w:t>
            </w:r>
            <w:r>
              <w:rPr>
                <w:rFonts w:hint="eastAsia" w:ascii="宋体" w:hAnsi="宋体"/>
                <w:kern w:val="0"/>
                <w:sz w:val="18"/>
                <w:szCs w:val="18"/>
              </w:rPr>
              <w:t>独立门店计数，每个特色品牌1分</w:t>
            </w:r>
            <w:r>
              <w:rPr>
                <w:rFonts w:hint="eastAsia" w:ascii="宋体" w:hAnsi="宋体"/>
                <w:sz w:val="18"/>
                <w:szCs w:val="18"/>
              </w:rPr>
              <w:t>，最多得60分。</w:t>
            </w:r>
          </w:p>
        </w:tc>
      </w:tr>
      <w:tr>
        <w:trPr>
          <w:trHeight w:val="735" w:hRule="atLeast"/>
        </w:trPr>
        <w:tc>
          <w:tcPr>
            <w:tcW w:w="538" w:type="dxa"/>
            <w:vMerge w:val="continue"/>
            <w:vAlign w:val="center"/>
          </w:tcPr>
          <w:p>
            <w:pPr>
              <w:widowControl/>
              <w:jc w:val="center"/>
              <w:rPr>
                <w:rFonts w:ascii="宋体" w:hAnsi="宋体"/>
                <w:kern w:val="0"/>
                <w:sz w:val="18"/>
                <w:szCs w:val="18"/>
              </w:rPr>
            </w:pPr>
          </w:p>
        </w:tc>
        <w:tc>
          <w:tcPr>
            <w:tcW w:w="1032" w:type="dxa"/>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有建筑面积1000平方米（含）以上的独立特色品牌店。（50分）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提供品牌店具有的特色说明，符合条件的</w:t>
            </w:r>
            <w:r>
              <w:rPr>
                <w:rFonts w:hint="eastAsia" w:ascii="宋体" w:hAnsi="宋体"/>
                <w:kern w:val="0"/>
                <w:sz w:val="18"/>
                <w:szCs w:val="18"/>
              </w:rPr>
              <w:t>每个5分，最多50分。</w:t>
            </w:r>
          </w:p>
        </w:tc>
      </w:tr>
      <w:tr>
        <w:trPr>
          <w:trHeight w:val="567" w:hRule="atLeast"/>
        </w:trPr>
        <w:tc>
          <w:tcPr>
            <w:tcW w:w="14174" w:type="dxa"/>
            <w:gridSpan w:val="5"/>
            <w:tcBorders>
              <w:bottom w:val="single" w:color="auto" w:sz="4" w:space="0"/>
            </w:tcBorders>
            <w:shd w:val="clear" w:color="auto" w:fill="F2F2F2"/>
            <w:vAlign w:val="center"/>
          </w:tcPr>
          <w:p>
            <w:pPr>
              <w:widowControl/>
              <w:jc w:val="left"/>
              <w:rPr>
                <w:rFonts w:ascii="宋体" w:hAnsi="宋体"/>
                <w:sz w:val="18"/>
                <w:szCs w:val="18"/>
              </w:rPr>
            </w:pPr>
            <w:r>
              <w:rPr>
                <w:rFonts w:hint="eastAsia" w:ascii="黑体" w:hAnsi="黑体" w:eastAsia="黑体"/>
                <w:b/>
                <w:sz w:val="24"/>
              </w:rPr>
              <w:t>四、智慧水平（130分）</w:t>
            </w:r>
          </w:p>
        </w:tc>
      </w:tr>
      <w:tr>
        <w:trPr>
          <w:trHeight w:val="413" w:hRule="atLeast"/>
        </w:trPr>
        <w:tc>
          <w:tcPr>
            <w:tcW w:w="1570" w:type="dxa"/>
            <w:gridSpan w:val="2"/>
            <w:vAlign w:val="center"/>
          </w:tcPr>
          <w:p>
            <w:pPr>
              <w:widowControl/>
              <w:jc w:val="center"/>
              <w:rPr>
                <w:rFonts w:ascii="宋体" w:hAnsi="宋体"/>
                <w:kern w:val="0"/>
                <w:sz w:val="18"/>
                <w:szCs w:val="18"/>
              </w:rPr>
            </w:pPr>
            <w:r>
              <w:rPr>
                <w:rFonts w:hint="eastAsia" w:ascii="黑体" w:hAnsi="黑体" w:eastAsia="黑体"/>
                <w:kern w:val="0"/>
                <w:szCs w:val="21"/>
              </w:rPr>
              <w:t>评分指标</w:t>
            </w:r>
          </w:p>
        </w:tc>
        <w:tc>
          <w:tcPr>
            <w:tcW w:w="5769" w:type="dxa"/>
            <w:vAlign w:val="center"/>
          </w:tcPr>
          <w:p>
            <w:pPr>
              <w:jc w:val="center"/>
              <w:rPr>
                <w:rFonts w:ascii="宋体" w:hAnsi="宋体"/>
                <w:kern w:val="0"/>
                <w:sz w:val="18"/>
                <w:szCs w:val="18"/>
              </w:rPr>
            </w:pPr>
            <w:r>
              <w:rPr>
                <w:rFonts w:hint="eastAsia" w:ascii="黑体" w:hAnsi="黑体" w:eastAsia="黑体"/>
                <w:kern w:val="0"/>
                <w:szCs w:val="21"/>
              </w:rPr>
              <w:t>评分标准</w:t>
            </w:r>
          </w:p>
        </w:tc>
        <w:tc>
          <w:tcPr>
            <w:tcW w:w="6835" w:type="dxa"/>
            <w:gridSpan w:val="2"/>
            <w:vAlign w:val="center"/>
          </w:tcPr>
          <w:p>
            <w:pPr>
              <w:widowControl/>
              <w:jc w:val="center"/>
              <w:rPr>
                <w:rFonts w:ascii="宋体" w:hAnsi="宋体"/>
                <w:sz w:val="18"/>
                <w:szCs w:val="18"/>
              </w:rPr>
            </w:pPr>
            <w:r>
              <w:rPr>
                <w:rFonts w:hint="eastAsia" w:ascii="黑体" w:hAnsi="黑体" w:eastAsia="黑体"/>
                <w:kern w:val="0"/>
                <w:szCs w:val="21"/>
              </w:rPr>
              <w:t>评分说明</w:t>
            </w:r>
          </w:p>
        </w:tc>
      </w:tr>
      <w:tr>
        <w:trPr>
          <w:trHeight w:val="454" w:hRule="atLeast"/>
        </w:trPr>
        <w:tc>
          <w:tcPr>
            <w:tcW w:w="1570" w:type="dxa"/>
            <w:gridSpan w:val="2"/>
            <w:vMerge w:val="restart"/>
            <w:vAlign w:val="center"/>
          </w:tcPr>
          <w:p>
            <w:pPr>
              <w:widowControl/>
              <w:jc w:val="center"/>
              <w:rPr>
                <w:rFonts w:ascii="宋体" w:hAnsi="宋体"/>
                <w:b/>
                <w:kern w:val="0"/>
                <w:sz w:val="18"/>
                <w:szCs w:val="18"/>
              </w:rPr>
            </w:pPr>
            <w:r>
              <w:rPr>
                <w:rFonts w:hint="eastAsia" w:ascii="宋体" w:hAnsi="宋体"/>
                <w:b/>
                <w:kern w:val="0"/>
                <w:sz w:val="18"/>
                <w:szCs w:val="18"/>
              </w:rPr>
              <w:t>场景智能</w:t>
            </w:r>
          </w:p>
          <w:p>
            <w:pPr>
              <w:widowControl/>
              <w:jc w:val="center"/>
              <w:rPr>
                <w:rFonts w:ascii="宋体" w:hAnsi="宋体"/>
                <w:b/>
                <w:kern w:val="0"/>
                <w:sz w:val="18"/>
                <w:szCs w:val="18"/>
              </w:rPr>
            </w:pPr>
            <w:r>
              <w:rPr>
                <w:rFonts w:hint="eastAsia" w:ascii="宋体" w:hAnsi="宋体"/>
                <w:b/>
                <w:kern w:val="0"/>
                <w:sz w:val="18"/>
                <w:szCs w:val="18"/>
              </w:rPr>
              <w:t>（60分）</w:t>
            </w:r>
          </w:p>
        </w:tc>
        <w:tc>
          <w:tcPr>
            <w:tcW w:w="5769" w:type="dxa"/>
            <w:vAlign w:val="center"/>
          </w:tcPr>
          <w:p>
            <w:pPr>
              <w:rPr>
                <w:rFonts w:ascii="宋体" w:hAnsi="宋体"/>
                <w:kern w:val="0"/>
                <w:sz w:val="18"/>
                <w:szCs w:val="18"/>
              </w:rPr>
            </w:pPr>
            <w:r>
              <w:rPr>
                <w:rFonts w:hint="eastAsia" w:ascii="宋体" w:hAnsi="宋体"/>
                <w:kern w:val="0"/>
                <w:sz w:val="18"/>
                <w:szCs w:val="18"/>
              </w:rPr>
              <w:t>建成5G应用示范步行街，街区无线网络全覆盖。（20分）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实现街区5G全覆盖、无线网络全覆盖，得10分。</w:t>
            </w:r>
          </w:p>
          <w:p>
            <w:pPr>
              <w:widowControl/>
              <w:jc w:val="left"/>
              <w:rPr>
                <w:rFonts w:ascii="宋体" w:hAnsi="宋体"/>
                <w:sz w:val="18"/>
                <w:szCs w:val="18"/>
              </w:rPr>
            </w:pPr>
            <w:r>
              <w:rPr>
                <w:rFonts w:hint="eastAsia" w:ascii="宋体" w:hAnsi="宋体"/>
                <w:sz w:val="18"/>
                <w:szCs w:val="18"/>
              </w:rPr>
              <w:t>在应用5G技术进行街区管理和提供服务等方面有较强创新和示范作用，得10分。</w:t>
            </w:r>
          </w:p>
        </w:tc>
      </w:tr>
      <w:tr>
        <w:trPr>
          <w:trHeight w:val="354" w:hRule="atLeast"/>
        </w:trPr>
        <w:tc>
          <w:tcPr>
            <w:tcW w:w="1570" w:type="dxa"/>
            <w:gridSpan w:val="2"/>
            <w:vMerge w:val="continue"/>
            <w:vAlign w:val="center"/>
          </w:tcPr>
          <w:p>
            <w:pPr>
              <w:widowControl/>
              <w:jc w:val="center"/>
              <w:rPr>
                <w:rFonts w:ascii="宋体" w:hAnsi="宋体"/>
                <w:b/>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有统一管理的智能安全监控设施，实时、准确掌握客流情况。（20分）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智能安全监控设施实现街区全覆盖，准确掌握实时客流情况，得20分。</w:t>
            </w:r>
          </w:p>
        </w:tc>
      </w:tr>
      <w:tr>
        <w:trPr>
          <w:trHeight w:val="415" w:hRule="atLeast"/>
        </w:trPr>
        <w:tc>
          <w:tcPr>
            <w:tcW w:w="1570" w:type="dxa"/>
            <w:gridSpan w:val="2"/>
            <w:vMerge w:val="continue"/>
            <w:vAlign w:val="center"/>
          </w:tcPr>
          <w:p>
            <w:pPr>
              <w:widowControl/>
              <w:jc w:val="center"/>
              <w:rPr>
                <w:rFonts w:ascii="宋体" w:hAnsi="宋体"/>
                <w:b/>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有全天候提供便利服务的自助服务设施。（10分）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有创新性的智慧零售及服务业态方面的自助服务设施，每类得2分，最多10分。</w:t>
            </w:r>
          </w:p>
        </w:tc>
      </w:tr>
      <w:tr>
        <w:trPr>
          <w:trHeight w:val="405" w:hRule="atLeast"/>
        </w:trPr>
        <w:tc>
          <w:tcPr>
            <w:tcW w:w="1570" w:type="dxa"/>
            <w:gridSpan w:val="2"/>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有智能灯光、智能公厕、智能垃圾箱等智能化设施（10分）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根据街区特点创新应用智能设施，每类得2分，最多10分。</w:t>
            </w:r>
          </w:p>
        </w:tc>
      </w:tr>
      <w:tr>
        <w:trPr>
          <w:trHeight w:val="454" w:hRule="atLeast"/>
        </w:trPr>
        <w:tc>
          <w:tcPr>
            <w:tcW w:w="1570" w:type="dxa"/>
            <w:gridSpan w:val="2"/>
            <w:vMerge w:val="restart"/>
            <w:vAlign w:val="center"/>
          </w:tcPr>
          <w:p>
            <w:pPr>
              <w:jc w:val="center"/>
              <w:rPr>
                <w:rFonts w:ascii="宋体" w:hAnsi="宋体"/>
                <w:b/>
                <w:kern w:val="0"/>
                <w:sz w:val="18"/>
                <w:szCs w:val="18"/>
              </w:rPr>
            </w:pPr>
            <w:r>
              <w:rPr>
                <w:rFonts w:hint="eastAsia" w:ascii="宋体" w:hAnsi="宋体"/>
                <w:b/>
                <w:kern w:val="0"/>
                <w:sz w:val="18"/>
                <w:szCs w:val="18"/>
              </w:rPr>
              <w:t>服务智慧</w:t>
            </w:r>
          </w:p>
          <w:p>
            <w:pPr>
              <w:jc w:val="center"/>
              <w:rPr>
                <w:rFonts w:ascii="宋体" w:hAnsi="宋体"/>
                <w:b/>
                <w:kern w:val="0"/>
                <w:sz w:val="18"/>
                <w:szCs w:val="18"/>
              </w:rPr>
            </w:pPr>
            <w:r>
              <w:rPr>
                <w:rFonts w:hint="eastAsia" w:ascii="宋体" w:hAnsi="宋体"/>
                <w:b/>
                <w:kern w:val="0"/>
                <w:sz w:val="18"/>
                <w:szCs w:val="18"/>
              </w:rPr>
              <w:t>（70分）</w:t>
            </w:r>
          </w:p>
        </w:tc>
        <w:tc>
          <w:tcPr>
            <w:tcW w:w="5769" w:type="dxa"/>
            <w:vAlign w:val="center"/>
          </w:tcPr>
          <w:p>
            <w:pPr>
              <w:rPr>
                <w:rFonts w:ascii="宋体" w:hAnsi="宋体"/>
                <w:kern w:val="0"/>
                <w:sz w:val="18"/>
                <w:szCs w:val="18"/>
              </w:rPr>
            </w:pPr>
            <w:r>
              <w:rPr>
                <w:rFonts w:hint="eastAsia" w:ascii="宋体" w:hAnsi="宋体"/>
                <w:kern w:val="0"/>
                <w:sz w:val="18"/>
                <w:szCs w:val="18"/>
              </w:rPr>
              <w:t>有统一的信息发布、导购促销、重大活动等信息服务平台。（20分）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有步行街统一的信息服务平台，包括APP、公众号、小程序等移动应用，内容更新及时、与消费者互动，每一项得10分，最多得20分。</w:t>
            </w:r>
          </w:p>
        </w:tc>
      </w:tr>
      <w:tr>
        <w:trPr>
          <w:trHeight w:val="363" w:hRule="atLeast"/>
        </w:trPr>
        <w:tc>
          <w:tcPr>
            <w:tcW w:w="1570" w:type="dxa"/>
            <w:gridSpan w:val="2"/>
            <w:vMerge w:val="continue"/>
            <w:vAlign w:val="center"/>
          </w:tcPr>
          <w:p>
            <w:pPr>
              <w:jc w:val="center"/>
              <w:rPr>
                <w:rFonts w:ascii="宋体" w:hAnsi="宋体"/>
                <w:b/>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有统一的街区经营情况和消费分析大数据管理平台。（10分）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有统一的销售、客流等统计分析系统，覆盖街区80%以上商户，得10分。</w:t>
            </w:r>
          </w:p>
        </w:tc>
      </w:tr>
      <w:tr>
        <w:trPr>
          <w:trHeight w:val="296" w:hRule="atLeast"/>
        </w:trPr>
        <w:tc>
          <w:tcPr>
            <w:tcW w:w="1570" w:type="dxa"/>
            <w:gridSpan w:val="2"/>
            <w:vMerge w:val="continue"/>
            <w:vAlign w:val="center"/>
          </w:tcPr>
          <w:p>
            <w:pPr>
              <w:jc w:val="center"/>
              <w:rPr>
                <w:rFonts w:ascii="宋体" w:hAnsi="宋体"/>
                <w:b/>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提供线上线下融合的多样服务。（20分）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通过自建平台或依托大型互联网平台，实现线上线下融合发展的商户占90%以上，得20分；80%-90%得10分。</w:t>
            </w:r>
          </w:p>
        </w:tc>
      </w:tr>
      <w:tr>
        <w:trPr>
          <w:trHeight w:val="348" w:hRule="atLeast"/>
        </w:trPr>
        <w:tc>
          <w:tcPr>
            <w:tcW w:w="1570" w:type="dxa"/>
            <w:gridSpan w:val="2"/>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提供精准导购、积分促销、移动支付、智能停车等服务。（20分）</w:t>
            </w:r>
          </w:p>
        </w:tc>
        <w:tc>
          <w:tcPr>
            <w:tcW w:w="6835" w:type="dxa"/>
            <w:gridSpan w:val="2"/>
            <w:vAlign w:val="center"/>
          </w:tcPr>
          <w:p>
            <w:pPr>
              <w:widowControl/>
              <w:jc w:val="left"/>
              <w:rPr>
                <w:rFonts w:ascii="宋体" w:hAnsi="宋体"/>
                <w:sz w:val="18"/>
                <w:szCs w:val="18"/>
              </w:rPr>
            </w:pPr>
            <w:r>
              <w:rPr>
                <w:rFonts w:hint="eastAsia" w:ascii="宋体" w:hAnsi="宋体"/>
                <w:kern w:val="0"/>
                <w:sz w:val="18"/>
                <w:szCs w:val="18"/>
              </w:rPr>
              <w:t>通过统一服务平台每提供一项智能服务且覆盖50%以上商户，得5分，最多20分。</w:t>
            </w:r>
          </w:p>
        </w:tc>
      </w:tr>
      <w:tr>
        <w:trPr>
          <w:trHeight w:val="567" w:hRule="atLeast"/>
        </w:trPr>
        <w:tc>
          <w:tcPr>
            <w:tcW w:w="14174" w:type="dxa"/>
            <w:gridSpan w:val="5"/>
            <w:tcBorders>
              <w:bottom w:val="single" w:color="auto" w:sz="4" w:space="0"/>
            </w:tcBorders>
            <w:shd w:val="clear" w:color="auto" w:fill="F2F2F2"/>
            <w:vAlign w:val="center"/>
          </w:tcPr>
          <w:p>
            <w:pPr>
              <w:widowControl/>
              <w:jc w:val="left"/>
              <w:rPr>
                <w:rFonts w:ascii="宋体" w:hAnsi="宋体"/>
                <w:kern w:val="0"/>
                <w:sz w:val="18"/>
                <w:szCs w:val="18"/>
              </w:rPr>
            </w:pPr>
            <w:r>
              <w:rPr>
                <w:rFonts w:hint="eastAsia" w:ascii="黑体" w:hAnsi="黑体" w:eastAsia="黑体"/>
                <w:b/>
                <w:sz w:val="24"/>
              </w:rPr>
              <w:t>五、文化特色（130分）</w:t>
            </w:r>
          </w:p>
        </w:tc>
      </w:tr>
      <w:tr>
        <w:trPr>
          <w:trHeight w:val="344" w:hRule="atLeast"/>
        </w:trPr>
        <w:tc>
          <w:tcPr>
            <w:tcW w:w="1570" w:type="dxa"/>
            <w:gridSpan w:val="2"/>
            <w:vAlign w:val="center"/>
          </w:tcPr>
          <w:p>
            <w:pPr>
              <w:widowControl/>
              <w:jc w:val="center"/>
              <w:rPr>
                <w:rFonts w:ascii="宋体" w:hAnsi="宋体"/>
                <w:kern w:val="0"/>
                <w:sz w:val="18"/>
                <w:szCs w:val="18"/>
              </w:rPr>
            </w:pPr>
            <w:r>
              <w:rPr>
                <w:rFonts w:hint="eastAsia" w:ascii="黑体" w:hAnsi="黑体" w:eastAsia="黑体"/>
                <w:kern w:val="0"/>
                <w:szCs w:val="21"/>
              </w:rPr>
              <w:t>评分指标</w:t>
            </w:r>
          </w:p>
        </w:tc>
        <w:tc>
          <w:tcPr>
            <w:tcW w:w="5769" w:type="dxa"/>
            <w:vAlign w:val="center"/>
          </w:tcPr>
          <w:p>
            <w:pPr>
              <w:jc w:val="center"/>
              <w:rPr>
                <w:rFonts w:ascii="宋体" w:hAnsi="宋体"/>
                <w:kern w:val="0"/>
                <w:sz w:val="18"/>
                <w:szCs w:val="18"/>
              </w:rPr>
            </w:pPr>
            <w:r>
              <w:rPr>
                <w:rFonts w:hint="eastAsia" w:ascii="黑体" w:hAnsi="黑体" w:eastAsia="黑体"/>
                <w:kern w:val="0"/>
                <w:szCs w:val="21"/>
              </w:rPr>
              <w:t>评分标准</w:t>
            </w:r>
          </w:p>
        </w:tc>
        <w:tc>
          <w:tcPr>
            <w:tcW w:w="6835" w:type="dxa"/>
            <w:gridSpan w:val="2"/>
            <w:vAlign w:val="center"/>
          </w:tcPr>
          <w:p>
            <w:pPr>
              <w:widowControl/>
              <w:jc w:val="center"/>
              <w:rPr>
                <w:rFonts w:ascii="宋体" w:hAnsi="宋体"/>
                <w:kern w:val="0"/>
                <w:sz w:val="18"/>
                <w:szCs w:val="18"/>
              </w:rPr>
            </w:pPr>
            <w:r>
              <w:rPr>
                <w:rFonts w:hint="eastAsia" w:ascii="黑体" w:hAnsi="黑体" w:eastAsia="黑体"/>
                <w:kern w:val="0"/>
                <w:szCs w:val="21"/>
              </w:rPr>
              <w:t>评分说明</w:t>
            </w:r>
          </w:p>
        </w:tc>
      </w:tr>
      <w:tr>
        <w:trPr>
          <w:trHeight w:val="327" w:hRule="atLeast"/>
        </w:trPr>
        <w:tc>
          <w:tcPr>
            <w:tcW w:w="1570" w:type="dxa"/>
            <w:gridSpan w:val="2"/>
            <w:vMerge w:val="restart"/>
            <w:vAlign w:val="center"/>
          </w:tcPr>
          <w:p>
            <w:pPr>
              <w:widowControl/>
              <w:jc w:val="center"/>
              <w:rPr>
                <w:rFonts w:ascii="宋体" w:hAnsi="宋体"/>
                <w:b/>
                <w:kern w:val="0"/>
                <w:sz w:val="18"/>
                <w:szCs w:val="18"/>
              </w:rPr>
            </w:pPr>
            <w:r>
              <w:rPr>
                <w:rFonts w:hint="eastAsia" w:ascii="宋体" w:hAnsi="宋体"/>
                <w:b/>
                <w:kern w:val="0"/>
                <w:sz w:val="18"/>
                <w:szCs w:val="18"/>
              </w:rPr>
              <w:t>底蕴深厚</w:t>
            </w:r>
          </w:p>
          <w:p>
            <w:pPr>
              <w:widowControl/>
              <w:jc w:val="center"/>
              <w:rPr>
                <w:rFonts w:ascii="宋体" w:hAnsi="宋体"/>
                <w:b/>
                <w:kern w:val="0"/>
                <w:sz w:val="18"/>
                <w:szCs w:val="18"/>
              </w:rPr>
            </w:pPr>
            <w:r>
              <w:rPr>
                <w:rFonts w:hint="eastAsia" w:ascii="宋体" w:hAnsi="宋体"/>
                <w:b/>
                <w:kern w:val="0"/>
                <w:sz w:val="18"/>
                <w:szCs w:val="18"/>
              </w:rPr>
              <w:t>（60分）</w:t>
            </w:r>
          </w:p>
        </w:tc>
        <w:tc>
          <w:tcPr>
            <w:tcW w:w="5769" w:type="dxa"/>
            <w:vAlign w:val="center"/>
          </w:tcPr>
          <w:p>
            <w:pPr>
              <w:rPr>
                <w:rFonts w:ascii="宋体" w:hAnsi="宋体"/>
                <w:kern w:val="0"/>
                <w:sz w:val="18"/>
                <w:szCs w:val="18"/>
              </w:rPr>
            </w:pPr>
            <w:r>
              <w:rPr>
                <w:rFonts w:hint="eastAsia" w:ascii="宋体" w:hAnsi="宋体"/>
                <w:kern w:val="0"/>
                <w:sz w:val="18"/>
                <w:szCs w:val="18"/>
              </w:rPr>
              <w:t>有20年（含）以上发展历史。（10分）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开街20年（含）以上，得10分；10（含）-20年，得5分。</w:t>
            </w:r>
          </w:p>
        </w:tc>
      </w:tr>
      <w:tr>
        <w:trPr>
          <w:trHeight w:val="443" w:hRule="atLeast"/>
        </w:trPr>
        <w:tc>
          <w:tcPr>
            <w:tcW w:w="1570" w:type="dxa"/>
            <w:gridSpan w:val="2"/>
            <w:vMerge w:val="continue"/>
            <w:vAlign w:val="center"/>
          </w:tcPr>
          <w:p>
            <w:pPr>
              <w:widowControl/>
              <w:jc w:val="center"/>
              <w:rPr>
                <w:rFonts w:ascii="宋体" w:hAnsi="宋体"/>
                <w:b/>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有塑造历史记忆、民族特色和文化传承的景观或设施，保护得当，与步行街发展相协调。（50分）</w:t>
            </w:r>
          </w:p>
        </w:tc>
        <w:tc>
          <w:tcPr>
            <w:tcW w:w="6835" w:type="dxa"/>
            <w:gridSpan w:val="2"/>
            <w:vAlign w:val="center"/>
          </w:tcPr>
          <w:p>
            <w:pPr>
              <w:widowControl/>
              <w:jc w:val="left"/>
              <w:rPr>
                <w:rFonts w:ascii="宋体" w:hAnsi="宋体"/>
                <w:kern w:val="0"/>
                <w:sz w:val="18"/>
                <w:szCs w:val="18"/>
              </w:rPr>
            </w:pPr>
            <w:r>
              <w:rPr>
                <w:rFonts w:hint="eastAsia" w:ascii="宋体" w:hAnsi="宋体"/>
                <w:kern w:val="0"/>
                <w:sz w:val="18"/>
                <w:szCs w:val="18"/>
              </w:rPr>
              <w:t>专家评估，街区在文化传承方面是否有较强的代表性和特色，最多得30分。</w:t>
            </w:r>
          </w:p>
          <w:p>
            <w:pPr>
              <w:widowControl/>
              <w:jc w:val="left"/>
              <w:rPr>
                <w:rFonts w:ascii="宋体" w:hAnsi="宋体"/>
                <w:sz w:val="18"/>
                <w:szCs w:val="18"/>
              </w:rPr>
            </w:pPr>
            <w:r>
              <w:rPr>
                <w:rFonts w:hint="eastAsia" w:ascii="宋体" w:hAnsi="宋体"/>
                <w:kern w:val="0"/>
                <w:sz w:val="18"/>
                <w:szCs w:val="18"/>
              </w:rPr>
              <w:t>历史文化设施保护是否得当，与步行街发展是否相协调，最多得20分。</w:t>
            </w:r>
          </w:p>
        </w:tc>
      </w:tr>
      <w:tr>
        <w:trPr>
          <w:trHeight w:val="483" w:hRule="atLeast"/>
        </w:trPr>
        <w:tc>
          <w:tcPr>
            <w:tcW w:w="1570" w:type="dxa"/>
            <w:gridSpan w:val="2"/>
            <w:vMerge w:val="restart"/>
            <w:vAlign w:val="center"/>
          </w:tcPr>
          <w:p>
            <w:pPr>
              <w:jc w:val="center"/>
              <w:rPr>
                <w:rFonts w:ascii="宋体" w:hAnsi="宋体"/>
                <w:b/>
                <w:kern w:val="0"/>
                <w:sz w:val="18"/>
                <w:szCs w:val="18"/>
              </w:rPr>
            </w:pPr>
            <w:r>
              <w:rPr>
                <w:rFonts w:hint="eastAsia" w:ascii="宋体" w:hAnsi="宋体"/>
                <w:b/>
                <w:kern w:val="0"/>
                <w:sz w:val="18"/>
                <w:szCs w:val="18"/>
              </w:rPr>
              <w:t>活动丰富</w:t>
            </w:r>
          </w:p>
          <w:p>
            <w:pPr>
              <w:jc w:val="center"/>
              <w:rPr>
                <w:rFonts w:ascii="宋体" w:hAnsi="宋体"/>
                <w:b/>
                <w:kern w:val="0"/>
                <w:sz w:val="18"/>
                <w:szCs w:val="18"/>
              </w:rPr>
            </w:pPr>
            <w:r>
              <w:rPr>
                <w:rFonts w:hint="eastAsia" w:ascii="宋体" w:hAnsi="宋体"/>
                <w:b/>
                <w:kern w:val="0"/>
                <w:sz w:val="18"/>
                <w:szCs w:val="18"/>
              </w:rPr>
              <w:t>（70分）</w:t>
            </w:r>
          </w:p>
        </w:tc>
        <w:tc>
          <w:tcPr>
            <w:tcW w:w="5769" w:type="dxa"/>
            <w:vAlign w:val="center"/>
          </w:tcPr>
          <w:p>
            <w:pPr>
              <w:rPr>
                <w:rFonts w:ascii="宋体" w:hAnsi="宋体"/>
                <w:kern w:val="0"/>
                <w:sz w:val="18"/>
                <w:szCs w:val="18"/>
              </w:rPr>
            </w:pPr>
            <w:r>
              <w:rPr>
                <w:rFonts w:hint="eastAsia" w:ascii="宋体" w:hAnsi="宋体"/>
                <w:kern w:val="0"/>
                <w:sz w:val="18"/>
                <w:szCs w:val="18"/>
              </w:rPr>
              <w:t>举办形式多样的购物消费活动。（20分）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年度内每举办一次具有全市影响力的大型购物消费类活动，得5分，最多20分。</w:t>
            </w:r>
          </w:p>
        </w:tc>
      </w:tr>
      <w:tr>
        <w:trPr>
          <w:trHeight w:val="417" w:hRule="atLeast"/>
        </w:trPr>
        <w:tc>
          <w:tcPr>
            <w:tcW w:w="1570" w:type="dxa"/>
            <w:gridSpan w:val="2"/>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举办丰富文化内涵的文艺活动。（20分）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年度内每举办一次具有全市影响力的大型文化类活动，得5分，最多20分。</w:t>
            </w:r>
          </w:p>
        </w:tc>
      </w:tr>
      <w:tr>
        <w:trPr>
          <w:trHeight w:val="454" w:hRule="atLeast"/>
        </w:trPr>
        <w:tc>
          <w:tcPr>
            <w:tcW w:w="1570" w:type="dxa"/>
            <w:gridSpan w:val="2"/>
            <w:vMerge w:val="continue"/>
            <w:vAlign w:val="center"/>
          </w:tcPr>
          <w:p>
            <w:pPr>
              <w:widowControl/>
              <w:jc w:val="center"/>
              <w:rPr>
                <w:rFonts w:ascii="宋体" w:hAnsi="宋体"/>
                <w:kern w:val="0"/>
                <w:sz w:val="18"/>
                <w:szCs w:val="18"/>
              </w:rPr>
            </w:pPr>
          </w:p>
        </w:tc>
        <w:tc>
          <w:tcPr>
            <w:tcW w:w="5769" w:type="dxa"/>
            <w:vAlign w:val="center"/>
          </w:tcPr>
          <w:p>
            <w:pPr>
              <w:rPr>
                <w:rFonts w:ascii="宋体" w:hAnsi="宋体"/>
                <w:kern w:val="0"/>
                <w:sz w:val="18"/>
                <w:szCs w:val="18"/>
              </w:rPr>
            </w:pPr>
            <w:r>
              <w:rPr>
                <w:rFonts w:hint="eastAsia" w:ascii="宋体" w:hAnsi="宋体"/>
                <w:kern w:val="0"/>
                <w:sz w:val="18"/>
                <w:szCs w:val="18"/>
              </w:rPr>
              <w:t>与周边旅游资源、文化场所互动，商旅文融合发展突出。（30分）</w:t>
            </w:r>
          </w:p>
        </w:tc>
        <w:tc>
          <w:tcPr>
            <w:tcW w:w="6835" w:type="dxa"/>
            <w:gridSpan w:val="2"/>
            <w:vAlign w:val="center"/>
          </w:tcPr>
          <w:p>
            <w:pPr>
              <w:widowControl/>
              <w:jc w:val="left"/>
              <w:rPr>
                <w:rFonts w:ascii="宋体" w:hAnsi="宋体"/>
                <w:sz w:val="18"/>
                <w:szCs w:val="18"/>
              </w:rPr>
            </w:pPr>
            <w:r>
              <w:rPr>
                <w:rFonts w:hint="eastAsia" w:ascii="宋体" w:hAnsi="宋体"/>
                <w:sz w:val="18"/>
                <w:szCs w:val="18"/>
              </w:rPr>
              <w:t>提供与</w:t>
            </w:r>
            <w:r>
              <w:rPr>
                <w:rFonts w:hint="eastAsia" w:ascii="宋体" w:hAnsi="宋体"/>
                <w:kern w:val="0"/>
                <w:sz w:val="18"/>
                <w:szCs w:val="18"/>
              </w:rPr>
              <w:t>周边旅游资源、文化场所融合发展的具体方案和成效，结合专家评估，商旅文融合效果是否显著，最多得30分。</w:t>
            </w:r>
          </w:p>
        </w:tc>
      </w:tr>
      <w:tr>
        <w:trPr>
          <w:trHeight w:val="567" w:hRule="atLeast"/>
        </w:trPr>
        <w:tc>
          <w:tcPr>
            <w:tcW w:w="14174" w:type="dxa"/>
            <w:gridSpan w:val="5"/>
            <w:tcBorders>
              <w:bottom w:val="single" w:color="auto" w:sz="4" w:space="0"/>
            </w:tcBorders>
            <w:shd w:val="clear" w:color="auto" w:fill="F2F2F2"/>
            <w:vAlign w:val="center"/>
          </w:tcPr>
          <w:p>
            <w:pPr>
              <w:widowControl/>
              <w:jc w:val="left"/>
              <w:rPr>
                <w:rFonts w:ascii="宋体" w:hAnsi="宋体"/>
                <w:sz w:val="18"/>
                <w:szCs w:val="18"/>
              </w:rPr>
            </w:pPr>
            <w:r>
              <w:rPr>
                <w:rFonts w:hint="eastAsia" w:ascii="黑体" w:hAnsi="黑体" w:eastAsia="黑体"/>
                <w:b/>
                <w:sz w:val="24"/>
              </w:rPr>
              <w:t>六、管理机制（130分）</w:t>
            </w:r>
          </w:p>
        </w:tc>
      </w:tr>
      <w:tr>
        <w:trPr>
          <w:trHeight w:val="413" w:hRule="atLeast"/>
        </w:trPr>
        <w:tc>
          <w:tcPr>
            <w:tcW w:w="1570" w:type="dxa"/>
            <w:gridSpan w:val="2"/>
            <w:vAlign w:val="center"/>
          </w:tcPr>
          <w:p>
            <w:pPr>
              <w:widowControl/>
              <w:jc w:val="center"/>
              <w:rPr>
                <w:rFonts w:ascii="宋体" w:hAnsi="宋体"/>
                <w:kern w:val="0"/>
                <w:sz w:val="18"/>
                <w:szCs w:val="18"/>
              </w:rPr>
            </w:pPr>
            <w:r>
              <w:rPr>
                <w:rFonts w:hint="eastAsia" w:ascii="黑体" w:hAnsi="黑体" w:eastAsia="黑体"/>
                <w:kern w:val="0"/>
                <w:szCs w:val="21"/>
              </w:rPr>
              <w:t>评分指标</w:t>
            </w:r>
          </w:p>
        </w:tc>
        <w:tc>
          <w:tcPr>
            <w:tcW w:w="5843" w:type="dxa"/>
            <w:gridSpan w:val="2"/>
            <w:vAlign w:val="center"/>
          </w:tcPr>
          <w:p>
            <w:pPr>
              <w:jc w:val="center"/>
              <w:rPr>
                <w:rFonts w:ascii="宋体" w:hAnsi="宋体"/>
                <w:kern w:val="0"/>
                <w:sz w:val="18"/>
                <w:szCs w:val="18"/>
              </w:rPr>
            </w:pPr>
            <w:r>
              <w:rPr>
                <w:rFonts w:hint="eastAsia" w:ascii="黑体" w:hAnsi="黑体" w:eastAsia="黑体"/>
                <w:kern w:val="0"/>
                <w:szCs w:val="21"/>
              </w:rPr>
              <w:t>评分标准</w:t>
            </w:r>
          </w:p>
        </w:tc>
        <w:tc>
          <w:tcPr>
            <w:tcW w:w="6761" w:type="dxa"/>
            <w:vAlign w:val="center"/>
          </w:tcPr>
          <w:p>
            <w:pPr>
              <w:widowControl/>
              <w:jc w:val="center"/>
              <w:rPr>
                <w:rFonts w:ascii="宋体" w:hAnsi="宋体"/>
                <w:sz w:val="18"/>
                <w:szCs w:val="18"/>
              </w:rPr>
            </w:pPr>
            <w:r>
              <w:rPr>
                <w:rFonts w:hint="eastAsia" w:ascii="黑体" w:hAnsi="黑体" w:eastAsia="黑体"/>
                <w:kern w:val="0"/>
                <w:szCs w:val="21"/>
              </w:rPr>
              <w:t>评分说明</w:t>
            </w:r>
          </w:p>
        </w:tc>
      </w:tr>
      <w:tr>
        <w:trPr>
          <w:trHeight w:val="454" w:hRule="atLeast"/>
        </w:trPr>
        <w:tc>
          <w:tcPr>
            <w:tcW w:w="1570" w:type="dxa"/>
            <w:gridSpan w:val="2"/>
            <w:vMerge w:val="restart"/>
            <w:vAlign w:val="center"/>
          </w:tcPr>
          <w:p>
            <w:pPr>
              <w:jc w:val="center"/>
              <w:rPr>
                <w:rFonts w:ascii="宋体" w:hAnsi="宋体"/>
                <w:b/>
                <w:kern w:val="0"/>
                <w:sz w:val="18"/>
                <w:szCs w:val="18"/>
              </w:rPr>
            </w:pPr>
            <w:r>
              <w:rPr>
                <w:rFonts w:hint="eastAsia" w:ascii="宋体" w:hAnsi="宋体"/>
                <w:b/>
                <w:kern w:val="0"/>
                <w:sz w:val="18"/>
                <w:szCs w:val="18"/>
              </w:rPr>
              <w:t>机制健全</w:t>
            </w:r>
          </w:p>
          <w:p>
            <w:pPr>
              <w:jc w:val="center"/>
              <w:rPr>
                <w:rFonts w:ascii="宋体" w:hAnsi="宋体"/>
                <w:b/>
                <w:kern w:val="0"/>
                <w:sz w:val="18"/>
                <w:szCs w:val="18"/>
              </w:rPr>
            </w:pPr>
            <w:r>
              <w:rPr>
                <w:rFonts w:hint="eastAsia" w:ascii="宋体" w:hAnsi="宋体"/>
                <w:b/>
                <w:kern w:val="0"/>
                <w:sz w:val="18"/>
                <w:szCs w:val="18"/>
              </w:rPr>
              <w:t>（60分）</w:t>
            </w:r>
          </w:p>
        </w:tc>
        <w:tc>
          <w:tcPr>
            <w:tcW w:w="5843" w:type="dxa"/>
            <w:gridSpan w:val="2"/>
            <w:vAlign w:val="center"/>
          </w:tcPr>
          <w:p>
            <w:pPr>
              <w:widowControl/>
              <w:rPr>
                <w:rFonts w:ascii="宋体" w:hAnsi="宋体"/>
                <w:kern w:val="0"/>
                <w:sz w:val="18"/>
                <w:szCs w:val="18"/>
              </w:rPr>
            </w:pPr>
            <w:r>
              <w:rPr>
                <w:rFonts w:hint="eastAsia" w:ascii="宋体" w:hAnsi="宋体"/>
                <w:kern w:val="0"/>
                <w:sz w:val="18"/>
                <w:szCs w:val="18"/>
              </w:rPr>
              <w:t>有完善的省、市、区政府协调机制，有统一独立的街区管理运营机构。（20分）</w:t>
            </w:r>
          </w:p>
        </w:tc>
        <w:tc>
          <w:tcPr>
            <w:tcW w:w="6761" w:type="dxa"/>
            <w:vAlign w:val="center"/>
          </w:tcPr>
          <w:p>
            <w:pPr>
              <w:widowControl/>
              <w:jc w:val="left"/>
              <w:rPr>
                <w:rFonts w:ascii="宋体" w:hAnsi="宋体"/>
                <w:kern w:val="0"/>
                <w:sz w:val="18"/>
                <w:szCs w:val="18"/>
              </w:rPr>
            </w:pPr>
            <w:r>
              <w:rPr>
                <w:rFonts w:hint="eastAsia" w:ascii="宋体" w:hAnsi="宋体"/>
                <w:sz w:val="18"/>
                <w:szCs w:val="18"/>
              </w:rPr>
              <w:t>提供相关文件，有完善的</w:t>
            </w:r>
            <w:r>
              <w:rPr>
                <w:rFonts w:hint="eastAsia" w:ascii="宋体" w:hAnsi="宋体"/>
                <w:kern w:val="0"/>
                <w:sz w:val="18"/>
                <w:szCs w:val="18"/>
              </w:rPr>
              <w:t>省级、市级、区级协调机制，得10分。</w:t>
            </w:r>
          </w:p>
          <w:p>
            <w:pPr>
              <w:widowControl/>
              <w:jc w:val="left"/>
              <w:rPr>
                <w:rFonts w:ascii="宋体" w:hAnsi="宋体"/>
                <w:sz w:val="18"/>
                <w:szCs w:val="18"/>
              </w:rPr>
            </w:pPr>
            <w:r>
              <w:rPr>
                <w:rFonts w:hint="eastAsia" w:ascii="宋体" w:hAnsi="宋体"/>
                <w:kern w:val="0"/>
                <w:sz w:val="18"/>
                <w:szCs w:val="18"/>
              </w:rPr>
              <w:t>有统一独立的街区管理运营机构，得10分。</w:t>
            </w:r>
          </w:p>
        </w:tc>
      </w:tr>
      <w:tr>
        <w:trPr>
          <w:trHeight w:val="454" w:hRule="atLeast"/>
        </w:trPr>
        <w:tc>
          <w:tcPr>
            <w:tcW w:w="1570" w:type="dxa"/>
            <w:gridSpan w:val="2"/>
            <w:vMerge w:val="continue"/>
            <w:vAlign w:val="center"/>
          </w:tcPr>
          <w:p>
            <w:pPr>
              <w:jc w:val="center"/>
              <w:rPr>
                <w:rFonts w:ascii="宋体" w:hAnsi="宋体"/>
                <w:b/>
                <w:kern w:val="0"/>
                <w:sz w:val="18"/>
                <w:szCs w:val="18"/>
              </w:rPr>
            </w:pPr>
          </w:p>
        </w:tc>
        <w:tc>
          <w:tcPr>
            <w:tcW w:w="5843" w:type="dxa"/>
            <w:gridSpan w:val="2"/>
            <w:vAlign w:val="center"/>
          </w:tcPr>
          <w:p>
            <w:pPr>
              <w:widowControl/>
              <w:rPr>
                <w:rFonts w:ascii="宋体" w:hAnsi="宋体"/>
                <w:kern w:val="0"/>
                <w:sz w:val="18"/>
                <w:szCs w:val="18"/>
              </w:rPr>
            </w:pPr>
            <w:r>
              <w:rPr>
                <w:rFonts w:hint="eastAsia" w:ascii="宋体" w:hAnsi="宋体"/>
                <w:kern w:val="0"/>
                <w:sz w:val="18"/>
                <w:szCs w:val="18"/>
              </w:rPr>
              <w:t>有商户自律组织及消费者投诉处理中心，建立无障碍投诉反馈机制，投诉渠道畅通，反馈高效，处理率达到100%。（20分）</w:t>
            </w:r>
          </w:p>
        </w:tc>
        <w:tc>
          <w:tcPr>
            <w:tcW w:w="6761" w:type="dxa"/>
            <w:vAlign w:val="center"/>
          </w:tcPr>
          <w:p>
            <w:pPr>
              <w:widowControl/>
              <w:jc w:val="left"/>
              <w:rPr>
                <w:rFonts w:ascii="宋体" w:hAnsi="宋体"/>
                <w:kern w:val="0"/>
                <w:sz w:val="18"/>
                <w:szCs w:val="18"/>
              </w:rPr>
            </w:pPr>
            <w:r>
              <w:rPr>
                <w:rFonts w:hint="eastAsia" w:ascii="宋体" w:hAnsi="宋体"/>
                <w:kern w:val="0"/>
                <w:sz w:val="18"/>
                <w:szCs w:val="18"/>
              </w:rPr>
              <w:t>有商户自律组织及消费者投诉处理中心，得10分。</w:t>
            </w:r>
          </w:p>
          <w:p>
            <w:pPr>
              <w:widowControl/>
              <w:jc w:val="left"/>
              <w:rPr>
                <w:rFonts w:ascii="宋体" w:hAnsi="宋体"/>
                <w:sz w:val="18"/>
                <w:szCs w:val="18"/>
              </w:rPr>
            </w:pPr>
            <w:r>
              <w:rPr>
                <w:rFonts w:hint="eastAsia" w:ascii="宋体" w:hAnsi="宋体"/>
                <w:kern w:val="0"/>
                <w:sz w:val="18"/>
                <w:szCs w:val="18"/>
              </w:rPr>
              <w:t>消费者投诉渠道畅通，有专门的无障碍设施投诉应对措施，反馈高效，处理率达到100%，得10分。</w:t>
            </w:r>
          </w:p>
        </w:tc>
      </w:tr>
      <w:tr>
        <w:trPr>
          <w:trHeight w:val="454" w:hRule="atLeast"/>
        </w:trPr>
        <w:tc>
          <w:tcPr>
            <w:tcW w:w="1570" w:type="dxa"/>
            <w:gridSpan w:val="2"/>
            <w:vMerge w:val="continue"/>
            <w:vAlign w:val="center"/>
          </w:tcPr>
          <w:p>
            <w:pPr>
              <w:jc w:val="center"/>
              <w:rPr>
                <w:rFonts w:ascii="宋体" w:hAnsi="宋体"/>
                <w:b/>
                <w:kern w:val="0"/>
                <w:sz w:val="18"/>
                <w:szCs w:val="18"/>
              </w:rPr>
            </w:pPr>
          </w:p>
        </w:tc>
        <w:tc>
          <w:tcPr>
            <w:tcW w:w="5843" w:type="dxa"/>
            <w:gridSpan w:val="2"/>
            <w:vAlign w:val="center"/>
          </w:tcPr>
          <w:p>
            <w:pPr>
              <w:widowControl/>
              <w:rPr>
                <w:rFonts w:ascii="宋体" w:hAnsi="宋体"/>
                <w:kern w:val="0"/>
                <w:sz w:val="18"/>
                <w:szCs w:val="18"/>
              </w:rPr>
            </w:pPr>
            <w:r>
              <w:rPr>
                <w:rFonts w:hint="eastAsia" w:ascii="宋体" w:hAnsi="宋体"/>
                <w:kern w:val="0"/>
                <w:sz w:val="18"/>
                <w:szCs w:val="18"/>
              </w:rPr>
              <w:t>有针对步行街在财政金融、规划用地、免税退税、文化旅游、市场监管等方面的地方政策。（20分）</w:t>
            </w:r>
          </w:p>
        </w:tc>
        <w:tc>
          <w:tcPr>
            <w:tcW w:w="6761" w:type="dxa"/>
            <w:vAlign w:val="center"/>
          </w:tcPr>
          <w:p>
            <w:pPr>
              <w:widowControl/>
              <w:jc w:val="left"/>
              <w:rPr>
                <w:rFonts w:ascii="宋体" w:hAnsi="宋体"/>
                <w:sz w:val="18"/>
                <w:szCs w:val="18"/>
              </w:rPr>
            </w:pPr>
            <w:r>
              <w:rPr>
                <w:rFonts w:hint="eastAsia" w:ascii="宋体" w:hAnsi="宋体"/>
                <w:kern w:val="0"/>
                <w:sz w:val="18"/>
                <w:szCs w:val="18"/>
              </w:rPr>
              <w:t>有针对步行街在财政金融、规划用地、免税退税、文化旅游、市场监管等方面的地方政策，每一项政策得5分，最多20分。</w:t>
            </w:r>
          </w:p>
        </w:tc>
      </w:tr>
      <w:tr>
        <w:trPr>
          <w:trHeight w:val="454" w:hRule="atLeast"/>
        </w:trPr>
        <w:tc>
          <w:tcPr>
            <w:tcW w:w="1570" w:type="dxa"/>
            <w:gridSpan w:val="2"/>
            <w:vMerge w:val="restart"/>
            <w:vAlign w:val="center"/>
          </w:tcPr>
          <w:p>
            <w:pPr>
              <w:widowControl/>
              <w:jc w:val="center"/>
              <w:rPr>
                <w:rFonts w:ascii="宋体" w:hAnsi="宋体"/>
                <w:b/>
                <w:kern w:val="0"/>
                <w:sz w:val="18"/>
                <w:szCs w:val="18"/>
              </w:rPr>
            </w:pPr>
            <w:r>
              <w:rPr>
                <w:rFonts w:hint="eastAsia" w:ascii="宋体" w:hAnsi="宋体"/>
                <w:b/>
                <w:kern w:val="0"/>
                <w:sz w:val="18"/>
                <w:szCs w:val="18"/>
              </w:rPr>
              <w:t>管理规范</w:t>
            </w:r>
          </w:p>
          <w:p>
            <w:pPr>
              <w:widowControl/>
              <w:jc w:val="center"/>
              <w:rPr>
                <w:rFonts w:ascii="宋体" w:hAnsi="宋体"/>
                <w:b/>
                <w:kern w:val="0"/>
                <w:sz w:val="18"/>
                <w:szCs w:val="18"/>
              </w:rPr>
            </w:pPr>
            <w:r>
              <w:rPr>
                <w:rFonts w:hint="eastAsia" w:ascii="宋体" w:hAnsi="宋体"/>
                <w:b/>
                <w:kern w:val="0"/>
                <w:sz w:val="18"/>
                <w:szCs w:val="18"/>
              </w:rPr>
              <w:t>（70分）</w:t>
            </w:r>
          </w:p>
        </w:tc>
        <w:tc>
          <w:tcPr>
            <w:tcW w:w="5843" w:type="dxa"/>
            <w:gridSpan w:val="2"/>
            <w:vAlign w:val="center"/>
          </w:tcPr>
          <w:p>
            <w:pPr>
              <w:widowControl/>
              <w:rPr>
                <w:rFonts w:ascii="宋体" w:hAnsi="宋体"/>
                <w:kern w:val="0"/>
                <w:sz w:val="18"/>
                <w:szCs w:val="18"/>
              </w:rPr>
            </w:pPr>
            <w:r>
              <w:rPr>
                <w:rFonts w:hint="eastAsia" w:ascii="宋体" w:hAnsi="宋体"/>
                <w:kern w:val="0"/>
                <w:sz w:val="18"/>
                <w:szCs w:val="18"/>
              </w:rPr>
              <w:t>近3年未发生重大安全责任事故、重大侵犯知识产权和消费者权益事件。（50分）</w:t>
            </w:r>
          </w:p>
        </w:tc>
        <w:tc>
          <w:tcPr>
            <w:tcW w:w="6761" w:type="dxa"/>
            <w:vAlign w:val="center"/>
          </w:tcPr>
          <w:p>
            <w:pPr>
              <w:widowControl/>
              <w:jc w:val="left"/>
              <w:rPr>
                <w:rFonts w:ascii="宋体" w:hAnsi="宋体"/>
                <w:sz w:val="18"/>
                <w:szCs w:val="18"/>
              </w:rPr>
            </w:pPr>
            <w:r>
              <w:rPr>
                <w:rFonts w:hint="eastAsia" w:ascii="宋体" w:hAnsi="宋体"/>
                <w:kern w:val="0"/>
                <w:sz w:val="18"/>
                <w:szCs w:val="18"/>
              </w:rPr>
              <w:t>步行街运营管理机构提供近3年重大安全责任事故（30分）、重大侵犯知识产权（10分）和重大侵犯消费者权益事件（10分）的情况说明。</w:t>
            </w:r>
          </w:p>
        </w:tc>
      </w:tr>
      <w:tr>
        <w:trPr>
          <w:trHeight w:val="454" w:hRule="atLeast"/>
        </w:trPr>
        <w:tc>
          <w:tcPr>
            <w:tcW w:w="1570" w:type="dxa"/>
            <w:gridSpan w:val="2"/>
            <w:vMerge w:val="continue"/>
            <w:vAlign w:val="center"/>
          </w:tcPr>
          <w:p>
            <w:pPr>
              <w:widowControl/>
              <w:jc w:val="center"/>
              <w:rPr>
                <w:rFonts w:ascii="宋体" w:hAnsi="宋体"/>
                <w:kern w:val="0"/>
                <w:sz w:val="18"/>
                <w:szCs w:val="18"/>
              </w:rPr>
            </w:pPr>
          </w:p>
        </w:tc>
        <w:tc>
          <w:tcPr>
            <w:tcW w:w="5843" w:type="dxa"/>
            <w:gridSpan w:val="2"/>
            <w:vAlign w:val="center"/>
          </w:tcPr>
          <w:p>
            <w:pPr>
              <w:widowControl/>
              <w:rPr>
                <w:rFonts w:ascii="宋体" w:hAnsi="宋体"/>
                <w:kern w:val="0"/>
                <w:sz w:val="18"/>
                <w:szCs w:val="18"/>
              </w:rPr>
            </w:pPr>
            <w:r>
              <w:rPr>
                <w:rFonts w:hint="eastAsia" w:ascii="宋体" w:hAnsi="宋体"/>
                <w:kern w:val="0"/>
                <w:sz w:val="18"/>
                <w:szCs w:val="18"/>
              </w:rPr>
              <w:t>有完善的管理制度，包括突发事件应急处置机制及食品安全、环境卫生、知识产权、消费者权益、市场公平竞争等。（20分）</w:t>
            </w:r>
          </w:p>
        </w:tc>
        <w:tc>
          <w:tcPr>
            <w:tcW w:w="6761" w:type="dxa"/>
            <w:vAlign w:val="center"/>
          </w:tcPr>
          <w:p>
            <w:pPr>
              <w:widowControl/>
              <w:jc w:val="left"/>
              <w:rPr>
                <w:rFonts w:ascii="宋体" w:hAnsi="宋体"/>
                <w:sz w:val="18"/>
                <w:szCs w:val="18"/>
              </w:rPr>
            </w:pPr>
            <w:r>
              <w:rPr>
                <w:rFonts w:hint="eastAsia" w:ascii="宋体" w:hAnsi="宋体"/>
                <w:sz w:val="18"/>
                <w:szCs w:val="18"/>
              </w:rPr>
              <w:t>提供管理制度文档及其执行情况。</w:t>
            </w:r>
          </w:p>
          <w:p>
            <w:pPr>
              <w:widowControl/>
              <w:jc w:val="left"/>
              <w:rPr>
                <w:rFonts w:ascii="宋体" w:hAnsi="宋体"/>
                <w:sz w:val="18"/>
                <w:szCs w:val="18"/>
              </w:rPr>
            </w:pPr>
            <w:r>
              <w:rPr>
                <w:rFonts w:hint="eastAsia" w:ascii="宋体" w:hAnsi="宋体"/>
                <w:sz w:val="18"/>
                <w:szCs w:val="18"/>
              </w:rPr>
              <w:t>专家评估管理制度是否完善，执行是否到位，最多得20分。</w:t>
            </w:r>
          </w:p>
        </w:tc>
      </w:tr>
      <w:tr>
        <w:trPr>
          <w:trHeight w:val="567" w:hRule="atLeast"/>
        </w:trPr>
        <w:tc>
          <w:tcPr>
            <w:tcW w:w="14174" w:type="dxa"/>
            <w:gridSpan w:val="5"/>
            <w:tcBorders>
              <w:bottom w:val="single" w:color="auto" w:sz="4" w:space="0"/>
            </w:tcBorders>
            <w:shd w:val="clear" w:color="auto" w:fill="F2F2F2"/>
            <w:vAlign w:val="center"/>
          </w:tcPr>
          <w:p>
            <w:pPr>
              <w:widowControl/>
              <w:jc w:val="left"/>
              <w:rPr>
                <w:rFonts w:ascii="宋体" w:hAnsi="宋体"/>
                <w:sz w:val="18"/>
                <w:szCs w:val="18"/>
              </w:rPr>
            </w:pPr>
            <w:r>
              <w:rPr>
                <w:rFonts w:hint="eastAsia" w:ascii="黑体" w:hAnsi="黑体" w:eastAsia="黑体"/>
                <w:b/>
                <w:sz w:val="24"/>
              </w:rPr>
              <w:t>七、综合效益（130分）</w:t>
            </w:r>
          </w:p>
        </w:tc>
      </w:tr>
      <w:tr>
        <w:trPr>
          <w:trHeight w:val="436" w:hRule="atLeast"/>
        </w:trPr>
        <w:tc>
          <w:tcPr>
            <w:tcW w:w="1570" w:type="dxa"/>
            <w:gridSpan w:val="2"/>
            <w:vAlign w:val="center"/>
          </w:tcPr>
          <w:p>
            <w:pPr>
              <w:widowControl/>
              <w:jc w:val="center"/>
              <w:rPr>
                <w:rFonts w:ascii="宋体" w:hAnsi="宋体"/>
                <w:kern w:val="0"/>
                <w:sz w:val="18"/>
                <w:szCs w:val="18"/>
              </w:rPr>
            </w:pPr>
            <w:r>
              <w:rPr>
                <w:rFonts w:hint="eastAsia" w:ascii="黑体" w:hAnsi="黑体" w:eastAsia="黑体"/>
                <w:kern w:val="0"/>
                <w:szCs w:val="21"/>
              </w:rPr>
              <w:t>评分指标</w:t>
            </w:r>
          </w:p>
        </w:tc>
        <w:tc>
          <w:tcPr>
            <w:tcW w:w="5843" w:type="dxa"/>
            <w:gridSpan w:val="2"/>
            <w:vAlign w:val="center"/>
          </w:tcPr>
          <w:p>
            <w:pPr>
              <w:widowControl/>
              <w:jc w:val="center"/>
              <w:rPr>
                <w:rFonts w:ascii="宋体" w:hAnsi="宋体"/>
                <w:kern w:val="0"/>
                <w:sz w:val="18"/>
                <w:szCs w:val="18"/>
              </w:rPr>
            </w:pPr>
            <w:r>
              <w:rPr>
                <w:rFonts w:hint="eastAsia" w:ascii="黑体" w:hAnsi="黑体" w:eastAsia="黑体"/>
                <w:kern w:val="0"/>
                <w:szCs w:val="21"/>
              </w:rPr>
              <w:t>评分标准</w:t>
            </w:r>
          </w:p>
        </w:tc>
        <w:tc>
          <w:tcPr>
            <w:tcW w:w="6761" w:type="dxa"/>
            <w:vAlign w:val="center"/>
          </w:tcPr>
          <w:p>
            <w:pPr>
              <w:widowControl/>
              <w:jc w:val="center"/>
              <w:rPr>
                <w:rFonts w:ascii="宋体" w:hAnsi="宋体"/>
                <w:sz w:val="18"/>
                <w:szCs w:val="18"/>
              </w:rPr>
            </w:pPr>
            <w:r>
              <w:rPr>
                <w:rFonts w:hint="eastAsia" w:ascii="黑体" w:hAnsi="黑体" w:eastAsia="黑体"/>
                <w:kern w:val="0"/>
                <w:szCs w:val="21"/>
              </w:rPr>
              <w:t>评分说明</w:t>
            </w:r>
          </w:p>
        </w:tc>
      </w:tr>
      <w:tr>
        <w:trPr>
          <w:trHeight w:val="454" w:hRule="atLeast"/>
        </w:trPr>
        <w:tc>
          <w:tcPr>
            <w:tcW w:w="1570" w:type="dxa"/>
            <w:gridSpan w:val="2"/>
            <w:vMerge w:val="restart"/>
            <w:vAlign w:val="center"/>
          </w:tcPr>
          <w:p>
            <w:pPr>
              <w:jc w:val="center"/>
              <w:rPr>
                <w:rFonts w:ascii="宋体" w:hAnsi="宋体"/>
                <w:b/>
                <w:kern w:val="0"/>
                <w:sz w:val="18"/>
                <w:szCs w:val="18"/>
              </w:rPr>
            </w:pPr>
            <w:r>
              <w:rPr>
                <w:rFonts w:hint="eastAsia" w:ascii="宋体" w:hAnsi="宋体"/>
                <w:b/>
                <w:kern w:val="0"/>
                <w:sz w:val="18"/>
                <w:szCs w:val="18"/>
              </w:rPr>
              <w:t>商业繁荣</w:t>
            </w:r>
          </w:p>
          <w:p>
            <w:pPr>
              <w:jc w:val="center"/>
              <w:rPr>
                <w:rFonts w:ascii="宋体" w:hAnsi="宋体"/>
                <w:b/>
                <w:kern w:val="0"/>
                <w:sz w:val="18"/>
                <w:szCs w:val="18"/>
              </w:rPr>
            </w:pPr>
            <w:r>
              <w:rPr>
                <w:rFonts w:hint="eastAsia" w:ascii="宋体" w:hAnsi="宋体"/>
                <w:b/>
                <w:kern w:val="0"/>
                <w:sz w:val="18"/>
                <w:szCs w:val="18"/>
              </w:rPr>
              <w:t>（70分）</w:t>
            </w:r>
          </w:p>
        </w:tc>
        <w:tc>
          <w:tcPr>
            <w:tcW w:w="5843" w:type="dxa"/>
            <w:gridSpan w:val="2"/>
            <w:vAlign w:val="center"/>
          </w:tcPr>
          <w:p>
            <w:pPr>
              <w:rPr>
                <w:rFonts w:ascii="宋体" w:hAnsi="宋体"/>
                <w:kern w:val="0"/>
                <w:sz w:val="18"/>
                <w:szCs w:val="18"/>
              </w:rPr>
            </w:pPr>
            <w:r>
              <w:rPr>
                <w:rFonts w:hint="eastAsia" w:ascii="宋体" w:hAnsi="宋体"/>
                <w:kern w:val="0"/>
                <w:sz w:val="18"/>
                <w:szCs w:val="18"/>
              </w:rPr>
              <w:t>商业空置率低，最近季度空置率5%（含）以内。（20分）</w:t>
            </w:r>
          </w:p>
        </w:tc>
        <w:tc>
          <w:tcPr>
            <w:tcW w:w="6761" w:type="dxa"/>
            <w:vAlign w:val="center"/>
          </w:tcPr>
          <w:p>
            <w:pPr>
              <w:widowControl/>
              <w:jc w:val="left"/>
              <w:rPr>
                <w:rFonts w:ascii="宋体" w:hAnsi="宋体"/>
                <w:sz w:val="18"/>
                <w:szCs w:val="18"/>
              </w:rPr>
            </w:pPr>
            <w:r>
              <w:rPr>
                <w:rFonts w:hint="eastAsia" w:ascii="宋体" w:hAnsi="宋体"/>
                <w:sz w:val="18"/>
                <w:szCs w:val="18"/>
              </w:rPr>
              <w:t>现场验收时尚未装修开业的商业设施视为空置，空置商业设施的建筑面积与街区总商业建筑面积之比为空置率，</w:t>
            </w:r>
            <w:r>
              <w:rPr>
                <w:rFonts w:hint="eastAsia" w:ascii="宋体" w:hAnsi="宋体"/>
                <w:kern w:val="0"/>
                <w:sz w:val="18"/>
                <w:szCs w:val="18"/>
              </w:rPr>
              <w:t>空置率5%（含）以内，得20分；5%-10%（含），得10分；10%以上，得5分。</w:t>
            </w:r>
          </w:p>
        </w:tc>
      </w:tr>
      <w:tr>
        <w:trPr>
          <w:trHeight w:val="918" w:hRule="atLeast"/>
        </w:trPr>
        <w:tc>
          <w:tcPr>
            <w:tcW w:w="1570" w:type="dxa"/>
            <w:gridSpan w:val="2"/>
            <w:vMerge w:val="continue"/>
            <w:tcBorders>
              <w:bottom w:val="single" w:color="auto" w:sz="4" w:space="0"/>
            </w:tcBorders>
            <w:vAlign w:val="center"/>
          </w:tcPr>
          <w:p>
            <w:pPr>
              <w:jc w:val="center"/>
              <w:rPr>
                <w:rFonts w:ascii="宋体" w:hAnsi="宋体"/>
                <w:b/>
                <w:kern w:val="0"/>
                <w:sz w:val="18"/>
                <w:szCs w:val="18"/>
              </w:rPr>
            </w:pPr>
          </w:p>
        </w:tc>
        <w:tc>
          <w:tcPr>
            <w:tcW w:w="5843" w:type="dxa"/>
            <w:gridSpan w:val="2"/>
            <w:tcBorders>
              <w:bottom w:val="single" w:color="auto" w:sz="4" w:space="0"/>
            </w:tcBorders>
            <w:vAlign w:val="center"/>
          </w:tcPr>
          <w:p>
            <w:pPr>
              <w:widowControl/>
              <w:rPr>
                <w:rFonts w:ascii="宋体" w:hAnsi="宋体"/>
                <w:kern w:val="0"/>
                <w:sz w:val="18"/>
                <w:szCs w:val="18"/>
              </w:rPr>
            </w:pPr>
            <w:r>
              <w:rPr>
                <w:rFonts w:hint="eastAsia" w:ascii="宋体" w:hAnsi="宋体"/>
                <w:kern w:val="0"/>
                <w:sz w:val="18"/>
                <w:szCs w:val="18"/>
              </w:rPr>
              <w:t>商业经营效益高，最近年度平效2万元（含）以上（综合型）、1万元（含）以上（特色型）。（30分）</w:t>
            </w:r>
          </w:p>
        </w:tc>
        <w:tc>
          <w:tcPr>
            <w:tcW w:w="6761" w:type="dxa"/>
            <w:tcBorders>
              <w:bottom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平效等于步行街年销售总额除以用于商业经营的建筑面积。</w:t>
            </w:r>
          </w:p>
          <w:p>
            <w:pPr>
              <w:widowControl/>
              <w:jc w:val="left"/>
              <w:rPr>
                <w:rFonts w:ascii="宋体" w:hAnsi="宋体"/>
                <w:kern w:val="0"/>
                <w:sz w:val="18"/>
                <w:szCs w:val="18"/>
              </w:rPr>
            </w:pPr>
            <w:r>
              <w:rPr>
                <w:rFonts w:hint="eastAsia" w:ascii="宋体" w:hAnsi="宋体"/>
                <w:b/>
                <w:kern w:val="0"/>
                <w:sz w:val="18"/>
                <w:szCs w:val="18"/>
              </w:rPr>
              <w:t>综合型</w:t>
            </w:r>
            <w:r>
              <w:rPr>
                <w:rFonts w:hint="eastAsia" w:ascii="宋体" w:hAnsi="宋体"/>
                <w:kern w:val="0"/>
                <w:sz w:val="18"/>
                <w:szCs w:val="18"/>
              </w:rPr>
              <w:t>：最近年度平效2万元（含）以上，得30分；1（含）-2万元，得20分；1万元（含）以下，得10分。</w:t>
            </w:r>
          </w:p>
          <w:p>
            <w:pPr>
              <w:widowControl/>
              <w:jc w:val="left"/>
              <w:rPr>
                <w:rFonts w:ascii="宋体" w:hAnsi="宋体"/>
                <w:sz w:val="18"/>
                <w:szCs w:val="18"/>
              </w:rPr>
            </w:pPr>
            <w:r>
              <w:rPr>
                <w:rFonts w:hint="eastAsia" w:ascii="宋体" w:hAnsi="宋体"/>
                <w:b/>
                <w:kern w:val="0"/>
                <w:sz w:val="18"/>
                <w:szCs w:val="18"/>
              </w:rPr>
              <w:t>特色型</w:t>
            </w:r>
            <w:r>
              <w:rPr>
                <w:rFonts w:hint="eastAsia" w:ascii="宋体" w:hAnsi="宋体"/>
                <w:kern w:val="0"/>
                <w:sz w:val="18"/>
                <w:szCs w:val="18"/>
              </w:rPr>
              <w:t>：最近年度平效1万元（含）以上，得30分；0.5（含）-1万元，得20分；0.5万元（含）以下，得10分。</w:t>
            </w:r>
          </w:p>
        </w:tc>
      </w:tr>
      <w:tr>
        <w:trPr>
          <w:trHeight w:val="436" w:hRule="atLeast"/>
        </w:trPr>
        <w:tc>
          <w:tcPr>
            <w:tcW w:w="1570" w:type="dxa"/>
            <w:gridSpan w:val="2"/>
            <w:vAlign w:val="center"/>
          </w:tcPr>
          <w:p>
            <w:pPr>
              <w:widowControl/>
              <w:jc w:val="center"/>
              <w:rPr>
                <w:rFonts w:ascii="宋体" w:hAnsi="宋体"/>
                <w:kern w:val="0"/>
                <w:sz w:val="18"/>
                <w:szCs w:val="18"/>
              </w:rPr>
            </w:pPr>
            <w:r>
              <w:rPr>
                <w:rFonts w:hint="eastAsia" w:ascii="黑体" w:hAnsi="黑体" w:eastAsia="黑体"/>
                <w:kern w:val="0"/>
                <w:szCs w:val="21"/>
              </w:rPr>
              <w:t>评分指标</w:t>
            </w:r>
          </w:p>
        </w:tc>
        <w:tc>
          <w:tcPr>
            <w:tcW w:w="5843" w:type="dxa"/>
            <w:gridSpan w:val="2"/>
            <w:vAlign w:val="center"/>
          </w:tcPr>
          <w:p>
            <w:pPr>
              <w:widowControl/>
              <w:jc w:val="center"/>
              <w:rPr>
                <w:rFonts w:ascii="宋体" w:hAnsi="宋体"/>
                <w:kern w:val="0"/>
                <w:sz w:val="18"/>
                <w:szCs w:val="18"/>
              </w:rPr>
            </w:pPr>
            <w:r>
              <w:rPr>
                <w:rFonts w:hint="eastAsia" w:ascii="黑体" w:hAnsi="黑体" w:eastAsia="黑体"/>
                <w:kern w:val="0"/>
                <w:szCs w:val="21"/>
              </w:rPr>
              <w:t>评分标准</w:t>
            </w:r>
          </w:p>
        </w:tc>
        <w:tc>
          <w:tcPr>
            <w:tcW w:w="6761" w:type="dxa"/>
            <w:vAlign w:val="center"/>
          </w:tcPr>
          <w:p>
            <w:pPr>
              <w:widowControl/>
              <w:jc w:val="center"/>
              <w:rPr>
                <w:rFonts w:ascii="宋体" w:hAnsi="宋体"/>
                <w:sz w:val="18"/>
                <w:szCs w:val="18"/>
              </w:rPr>
            </w:pPr>
            <w:r>
              <w:rPr>
                <w:rFonts w:hint="eastAsia" w:ascii="黑体" w:hAnsi="黑体" w:eastAsia="黑体"/>
                <w:kern w:val="0"/>
                <w:szCs w:val="21"/>
              </w:rPr>
              <w:t>评分说明</w:t>
            </w:r>
          </w:p>
        </w:tc>
      </w:tr>
      <w:tr>
        <w:trPr>
          <w:trHeight w:val="454" w:hRule="atLeast"/>
        </w:trPr>
        <w:tc>
          <w:tcPr>
            <w:tcW w:w="1570" w:type="dxa"/>
            <w:gridSpan w:val="2"/>
            <w:vAlign w:val="center"/>
          </w:tcPr>
          <w:p>
            <w:pPr>
              <w:jc w:val="center"/>
              <w:rPr>
                <w:rFonts w:ascii="宋体" w:hAnsi="宋体"/>
                <w:b/>
                <w:kern w:val="0"/>
                <w:sz w:val="18"/>
                <w:szCs w:val="18"/>
              </w:rPr>
            </w:pPr>
          </w:p>
        </w:tc>
        <w:tc>
          <w:tcPr>
            <w:tcW w:w="5843" w:type="dxa"/>
            <w:gridSpan w:val="2"/>
            <w:vAlign w:val="center"/>
          </w:tcPr>
          <w:p>
            <w:pPr>
              <w:rPr>
                <w:rFonts w:ascii="宋体" w:hAnsi="宋体"/>
                <w:kern w:val="0"/>
                <w:sz w:val="18"/>
                <w:szCs w:val="18"/>
              </w:rPr>
            </w:pPr>
            <w:r>
              <w:rPr>
                <w:rFonts w:hint="eastAsia" w:ascii="宋体" w:hAnsi="宋体"/>
                <w:kern w:val="0"/>
                <w:sz w:val="18"/>
                <w:szCs w:val="18"/>
              </w:rPr>
              <w:t>国内外客流聚集，最近年度客流量8000万人次以上（综合型），3000万人次以上（特色型）。（20分）</w:t>
            </w:r>
          </w:p>
        </w:tc>
        <w:tc>
          <w:tcPr>
            <w:tcW w:w="6761" w:type="dxa"/>
            <w:vAlign w:val="center"/>
          </w:tcPr>
          <w:p>
            <w:pPr>
              <w:widowControl/>
              <w:jc w:val="left"/>
              <w:rPr>
                <w:rFonts w:ascii="宋体" w:hAnsi="宋体"/>
                <w:kern w:val="0"/>
                <w:sz w:val="18"/>
                <w:szCs w:val="18"/>
              </w:rPr>
            </w:pPr>
            <w:r>
              <w:rPr>
                <w:rFonts w:hint="eastAsia" w:ascii="宋体" w:hAnsi="宋体"/>
                <w:kern w:val="0"/>
                <w:sz w:val="18"/>
                <w:szCs w:val="18"/>
              </w:rPr>
              <w:t>步行街运营管理机构需提供客流量统计方法，说明该统计方法的合理性和真实性。</w:t>
            </w:r>
          </w:p>
          <w:p>
            <w:pPr>
              <w:widowControl/>
              <w:jc w:val="left"/>
              <w:rPr>
                <w:rFonts w:ascii="宋体" w:hAnsi="宋体"/>
                <w:kern w:val="0"/>
                <w:sz w:val="18"/>
                <w:szCs w:val="18"/>
              </w:rPr>
            </w:pPr>
            <w:r>
              <w:rPr>
                <w:rFonts w:hint="eastAsia" w:ascii="宋体" w:hAnsi="宋体"/>
                <w:kern w:val="0"/>
                <w:sz w:val="18"/>
                <w:szCs w:val="18"/>
              </w:rPr>
              <w:t>综合型：最近年度客流量8000万人次以上，得20分；5000-8000万人次，得10分；5000万人次以下，得5分。</w:t>
            </w:r>
          </w:p>
          <w:p>
            <w:pPr>
              <w:widowControl/>
              <w:jc w:val="left"/>
              <w:rPr>
                <w:rFonts w:ascii="宋体" w:hAnsi="宋体"/>
                <w:sz w:val="18"/>
                <w:szCs w:val="18"/>
              </w:rPr>
            </w:pPr>
            <w:r>
              <w:rPr>
                <w:rFonts w:hint="eastAsia" w:ascii="宋体" w:hAnsi="宋体"/>
                <w:kern w:val="0"/>
                <w:sz w:val="18"/>
                <w:szCs w:val="18"/>
              </w:rPr>
              <w:t>特色型：最近年度客流量3000万人次以上，得20分；1500-3000万人次，得10分；1500万人次以下，得5分。</w:t>
            </w:r>
          </w:p>
        </w:tc>
      </w:tr>
      <w:tr>
        <w:trPr>
          <w:trHeight w:val="454" w:hRule="atLeast"/>
        </w:trPr>
        <w:tc>
          <w:tcPr>
            <w:tcW w:w="1570" w:type="dxa"/>
            <w:gridSpan w:val="2"/>
            <w:vMerge w:val="restart"/>
            <w:vAlign w:val="center"/>
          </w:tcPr>
          <w:p>
            <w:pPr>
              <w:jc w:val="center"/>
              <w:rPr>
                <w:rFonts w:ascii="宋体" w:hAnsi="宋体"/>
                <w:b/>
                <w:kern w:val="0"/>
                <w:sz w:val="18"/>
                <w:szCs w:val="18"/>
              </w:rPr>
            </w:pPr>
            <w:r>
              <w:rPr>
                <w:rFonts w:hint="eastAsia" w:ascii="宋体" w:hAnsi="宋体"/>
                <w:b/>
                <w:kern w:val="0"/>
                <w:sz w:val="18"/>
                <w:szCs w:val="18"/>
              </w:rPr>
              <w:t>效益显著</w:t>
            </w:r>
          </w:p>
          <w:p>
            <w:pPr>
              <w:jc w:val="center"/>
              <w:rPr>
                <w:rFonts w:ascii="宋体" w:hAnsi="宋体"/>
                <w:b/>
                <w:kern w:val="0"/>
                <w:sz w:val="18"/>
                <w:szCs w:val="18"/>
              </w:rPr>
            </w:pPr>
            <w:r>
              <w:rPr>
                <w:rFonts w:hint="eastAsia" w:ascii="宋体" w:hAnsi="宋体"/>
                <w:b/>
                <w:kern w:val="0"/>
                <w:sz w:val="18"/>
                <w:szCs w:val="18"/>
              </w:rPr>
              <w:t>（60分）</w:t>
            </w:r>
          </w:p>
        </w:tc>
        <w:tc>
          <w:tcPr>
            <w:tcW w:w="5843" w:type="dxa"/>
            <w:gridSpan w:val="2"/>
            <w:vAlign w:val="center"/>
          </w:tcPr>
          <w:p>
            <w:pPr>
              <w:rPr>
                <w:rFonts w:ascii="宋体" w:hAnsi="宋体"/>
                <w:kern w:val="0"/>
                <w:sz w:val="18"/>
                <w:szCs w:val="18"/>
              </w:rPr>
            </w:pPr>
            <w:r>
              <w:rPr>
                <w:rFonts w:hint="eastAsia" w:ascii="宋体" w:hAnsi="宋体"/>
                <w:kern w:val="0"/>
                <w:sz w:val="18"/>
                <w:szCs w:val="18"/>
              </w:rPr>
              <w:t>吸纳就业能力强，每万平方米商业建筑面积吸纳就业100人（含）以上。（20分）</w:t>
            </w:r>
          </w:p>
        </w:tc>
        <w:tc>
          <w:tcPr>
            <w:tcW w:w="6761" w:type="dxa"/>
            <w:vAlign w:val="center"/>
          </w:tcPr>
          <w:p>
            <w:pPr>
              <w:widowControl/>
              <w:jc w:val="left"/>
              <w:rPr>
                <w:rFonts w:ascii="宋体" w:hAnsi="宋体"/>
                <w:sz w:val="18"/>
                <w:szCs w:val="18"/>
              </w:rPr>
            </w:pPr>
            <w:r>
              <w:rPr>
                <w:rFonts w:hint="eastAsia" w:ascii="宋体" w:hAnsi="宋体"/>
                <w:sz w:val="18"/>
                <w:szCs w:val="18"/>
              </w:rPr>
              <w:t>统计为街区经营、管理和服务的直接从业人员，</w:t>
            </w:r>
            <w:r>
              <w:rPr>
                <w:rFonts w:hint="eastAsia" w:ascii="宋体" w:hAnsi="宋体"/>
                <w:kern w:val="0"/>
                <w:sz w:val="18"/>
                <w:szCs w:val="18"/>
              </w:rPr>
              <w:t>每万平方米商业建筑面积吸纳就业100人（含）以上，得20分；100人以下，得10分。</w:t>
            </w:r>
          </w:p>
        </w:tc>
      </w:tr>
      <w:tr>
        <w:trPr>
          <w:trHeight w:val="454" w:hRule="atLeast"/>
        </w:trPr>
        <w:tc>
          <w:tcPr>
            <w:tcW w:w="1570" w:type="dxa"/>
            <w:gridSpan w:val="2"/>
            <w:vMerge w:val="continue"/>
            <w:vAlign w:val="center"/>
          </w:tcPr>
          <w:p>
            <w:pPr>
              <w:jc w:val="center"/>
              <w:rPr>
                <w:rFonts w:ascii="宋体" w:hAnsi="宋体"/>
                <w:b/>
                <w:kern w:val="0"/>
                <w:sz w:val="18"/>
                <w:szCs w:val="18"/>
              </w:rPr>
            </w:pPr>
          </w:p>
        </w:tc>
        <w:tc>
          <w:tcPr>
            <w:tcW w:w="5843" w:type="dxa"/>
            <w:gridSpan w:val="2"/>
            <w:vAlign w:val="center"/>
          </w:tcPr>
          <w:p>
            <w:pPr>
              <w:widowControl/>
              <w:rPr>
                <w:rFonts w:ascii="宋体" w:hAnsi="宋体"/>
                <w:kern w:val="0"/>
                <w:sz w:val="18"/>
                <w:szCs w:val="18"/>
              </w:rPr>
            </w:pPr>
            <w:r>
              <w:rPr>
                <w:rFonts w:hint="eastAsia" w:ascii="宋体" w:hAnsi="宋体"/>
                <w:kern w:val="0"/>
                <w:sz w:val="18"/>
                <w:szCs w:val="18"/>
              </w:rPr>
              <w:t>消费者评价美誉度高。（20分）</w:t>
            </w:r>
          </w:p>
        </w:tc>
        <w:tc>
          <w:tcPr>
            <w:tcW w:w="6761" w:type="dxa"/>
            <w:vAlign w:val="center"/>
          </w:tcPr>
          <w:p>
            <w:pPr>
              <w:widowControl/>
              <w:jc w:val="left"/>
              <w:rPr>
                <w:rFonts w:ascii="宋体" w:hAnsi="宋体"/>
                <w:sz w:val="18"/>
                <w:szCs w:val="18"/>
              </w:rPr>
            </w:pPr>
            <w:r>
              <w:rPr>
                <w:rFonts w:hint="eastAsia" w:ascii="宋体" w:hAnsi="宋体"/>
                <w:sz w:val="18"/>
                <w:szCs w:val="18"/>
              </w:rPr>
              <w:t>委托第三方进行的消费者评价调查，满意度90%（含）以上，得20分；80%-90%，得10分。</w:t>
            </w:r>
          </w:p>
        </w:tc>
      </w:tr>
      <w:tr>
        <w:trPr>
          <w:trHeight w:val="454" w:hRule="atLeast"/>
        </w:trPr>
        <w:tc>
          <w:tcPr>
            <w:tcW w:w="1570" w:type="dxa"/>
            <w:gridSpan w:val="2"/>
            <w:vMerge w:val="continue"/>
            <w:vAlign w:val="center"/>
          </w:tcPr>
          <w:p>
            <w:pPr>
              <w:jc w:val="center"/>
              <w:rPr>
                <w:rFonts w:ascii="宋体" w:hAnsi="宋体"/>
                <w:b/>
                <w:kern w:val="0"/>
                <w:sz w:val="18"/>
                <w:szCs w:val="18"/>
              </w:rPr>
            </w:pPr>
          </w:p>
        </w:tc>
        <w:tc>
          <w:tcPr>
            <w:tcW w:w="5843" w:type="dxa"/>
            <w:gridSpan w:val="2"/>
            <w:vAlign w:val="center"/>
          </w:tcPr>
          <w:p>
            <w:pPr>
              <w:widowControl/>
              <w:rPr>
                <w:rFonts w:ascii="宋体" w:hAnsi="宋体"/>
                <w:kern w:val="0"/>
                <w:sz w:val="18"/>
                <w:szCs w:val="18"/>
              </w:rPr>
            </w:pPr>
            <w:r>
              <w:rPr>
                <w:rFonts w:hint="eastAsia" w:ascii="宋体" w:hAnsi="宋体"/>
                <w:kern w:val="0"/>
                <w:sz w:val="18"/>
                <w:szCs w:val="18"/>
              </w:rPr>
              <w:t>经营者评价满意度高。（20分）</w:t>
            </w:r>
          </w:p>
        </w:tc>
        <w:tc>
          <w:tcPr>
            <w:tcW w:w="6761" w:type="dxa"/>
            <w:vAlign w:val="center"/>
          </w:tcPr>
          <w:p>
            <w:pPr>
              <w:widowControl/>
              <w:jc w:val="left"/>
              <w:rPr>
                <w:rFonts w:ascii="宋体" w:hAnsi="宋体"/>
                <w:sz w:val="18"/>
                <w:szCs w:val="18"/>
              </w:rPr>
            </w:pPr>
            <w:r>
              <w:rPr>
                <w:rFonts w:hint="eastAsia" w:ascii="宋体" w:hAnsi="宋体"/>
                <w:sz w:val="18"/>
                <w:szCs w:val="18"/>
              </w:rPr>
              <w:t>委托第三方进行的商户评价调查，满意度90%（含）以上，得20分；80%-90%，得10分。</w:t>
            </w:r>
          </w:p>
        </w:tc>
      </w:tr>
    </w:tbl>
    <w:p>
      <w:pPr>
        <w:pStyle w:val="13"/>
        <w:spacing w:line="360" w:lineRule="auto"/>
        <w:ind w:firstLine="482" w:firstLineChars="200"/>
        <w:rPr>
          <w:b/>
          <w:sz w:val="24"/>
          <w:szCs w:val="24"/>
        </w:rPr>
      </w:pPr>
      <w:r>
        <w:rPr>
          <w:rFonts w:hint="eastAsia"/>
          <w:b/>
          <w:sz w:val="24"/>
          <w:szCs w:val="24"/>
        </w:rPr>
        <w:t>修订说明：</w:t>
      </w:r>
    </w:p>
    <w:p>
      <w:pPr>
        <w:pStyle w:val="13"/>
        <w:spacing w:line="360" w:lineRule="auto"/>
        <w:ind w:firstLine="482" w:firstLineChars="200"/>
        <w:rPr>
          <w:b/>
          <w:sz w:val="24"/>
          <w:szCs w:val="24"/>
        </w:rPr>
      </w:pPr>
      <w:r>
        <w:rPr>
          <w:rFonts w:hint="eastAsia"/>
          <w:b/>
          <w:sz w:val="24"/>
          <w:szCs w:val="24"/>
        </w:rPr>
        <w:t>1. 修订背景</w:t>
      </w:r>
    </w:p>
    <w:p>
      <w:pPr>
        <w:pStyle w:val="13"/>
        <w:spacing w:line="360" w:lineRule="auto"/>
        <w:ind w:firstLine="480" w:firstLineChars="200"/>
        <w:rPr>
          <w:sz w:val="24"/>
          <w:szCs w:val="24"/>
        </w:rPr>
      </w:pPr>
      <w:r>
        <w:rPr>
          <w:rFonts w:hint="eastAsia"/>
          <w:sz w:val="24"/>
          <w:szCs w:val="24"/>
        </w:rPr>
        <w:t>1.1 本评价指标是对《高品位步行街评价指标（试行）》修订和完善</w:t>
      </w:r>
      <w:r>
        <w:rPr>
          <w:sz w:val="24"/>
          <w:szCs w:val="24"/>
        </w:rPr>
        <w:t>。</w:t>
      </w:r>
    </w:p>
    <w:p>
      <w:pPr>
        <w:pStyle w:val="13"/>
        <w:spacing w:line="360" w:lineRule="auto"/>
        <w:ind w:firstLine="480" w:firstLineChars="200"/>
        <w:rPr>
          <w:sz w:val="24"/>
          <w:szCs w:val="24"/>
        </w:rPr>
      </w:pPr>
      <w:r>
        <w:rPr>
          <w:rFonts w:hint="eastAsia"/>
          <w:sz w:val="24"/>
          <w:szCs w:val="24"/>
        </w:rPr>
        <w:t>1.2 本评价指标用于指导全国步行街改造提升工作。</w:t>
      </w:r>
    </w:p>
    <w:p>
      <w:pPr>
        <w:pStyle w:val="13"/>
        <w:spacing w:line="360" w:lineRule="auto"/>
        <w:ind w:firstLine="482" w:firstLineChars="200"/>
        <w:rPr>
          <w:b/>
          <w:sz w:val="24"/>
          <w:szCs w:val="24"/>
        </w:rPr>
      </w:pPr>
      <w:r>
        <w:rPr>
          <w:rFonts w:hint="eastAsia"/>
          <w:b/>
          <w:sz w:val="24"/>
          <w:szCs w:val="24"/>
        </w:rPr>
        <w:t xml:space="preserve">2. </w:t>
      </w:r>
      <w:r>
        <w:rPr>
          <w:b/>
          <w:sz w:val="24"/>
          <w:szCs w:val="24"/>
        </w:rPr>
        <w:t>适用范围</w:t>
      </w:r>
    </w:p>
    <w:p>
      <w:pPr>
        <w:pStyle w:val="13"/>
        <w:spacing w:line="360" w:lineRule="auto"/>
        <w:ind w:firstLine="480" w:firstLineChars="200"/>
        <w:rPr>
          <w:sz w:val="24"/>
          <w:szCs w:val="24"/>
        </w:rPr>
      </w:pPr>
      <w:r>
        <w:rPr>
          <w:rFonts w:hint="eastAsia"/>
          <w:sz w:val="24"/>
          <w:szCs w:val="24"/>
        </w:rPr>
        <w:t>2</w:t>
      </w:r>
      <w:r>
        <w:rPr>
          <w:sz w:val="24"/>
          <w:szCs w:val="24"/>
        </w:rPr>
        <w:t>.1本评价指标适用于综合型步行街和</w:t>
      </w:r>
      <w:r>
        <w:rPr>
          <w:rFonts w:hint="eastAsia"/>
          <w:sz w:val="24"/>
          <w:szCs w:val="24"/>
        </w:rPr>
        <w:t>特色</w:t>
      </w:r>
      <w:r>
        <w:rPr>
          <w:sz w:val="24"/>
          <w:szCs w:val="24"/>
        </w:rPr>
        <w:t>型步行街。</w:t>
      </w:r>
    </w:p>
    <w:p>
      <w:pPr>
        <w:pStyle w:val="13"/>
        <w:spacing w:line="360" w:lineRule="auto"/>
        <w:ind w:firstLine="480" w:firstLineChars="200"/>
        <w:rPr>
          <w:sz w:val="24"/>
          <w:szCs w:val="24"/>
        </w:rPr>
      </w:pPr>
      <w:r>
        <w:rPr>
          <w:rFonts w:hint="eastAsia"/>
          <w:sz w:val="24"/>
          <w:szCs w:val="24"/>
        </w:rPr>
        <w:t>2</w:t>
      </w:r>
      <w:r>
        <w:rPr>
          <w:sz w:val="24"/>
          <w:szCs w:val="24"/>
        </w:rPr>
        <w:t>.2本评价指标从规划布局、环境设施、功能品质、</w:t>
      </w:r>
      <w:r>
        <w:rPr>
          <w:rFonts w:hint="eastAsia"/>
          <w:sz w:val="24"/>
          <w:szCs w:val="24"/>
        </w:rPr>
        <w:t>智慧水平、文化特色、管理机制</w:t>
      </w:r>
      <w:r>
        <w:rPr>
          <w:sz w:val="24"/>
          <w:szCs w:val="24"/>
        </w:rPr>
        <w:t>和综合效益</w:t>
      </w:r>
      <w:r>
        <w:rPr>
          <w:rFonts w:hint="eastAsia"/>
          <w:sz w:val="24"/>
          <w:szCs w:val="24"/>
        </w:rPr>
        <w:t>七</w:t>
      </w:r>
      <w:r>
        <w:rPr>
          <w:sz w:val="24"/>
          <w:szCs w:val="24"/>
        </w:rPr>
        <w:t>个方面开展评价，总分100</w:t>
      </w:r>
      <w:r>
        <w:rPr>
          <w:rFonts w:hint="eastAsia"/>
          <w:sz w:val="24"/>
          <w:szCs w:val="24"/>
        </w:rPr>
        <w:t>0</w:t>
      </w:r>
      <w:r>
        <w:rPr>
          <w:sz w:val="24"/>
          <w:szCs w:val="24"/>
        </w:rPr>
        <w:t>分</w:t>
      </w:r>
      <w:r>
        <w:rPr>
          <w:rFonts w:hint="eastAsia"/>
          <w:sz w:val="24"/>
          <w:szCs w:val="24"/>
        </w:rPr>
        <w:t>。</w:t>
      </w:r>
    </w:p>
    <w:p>
      <w:pPr>
        <w:pStyle w:val="13"/>
        <w:spacing w:line="360" w:lineRule="auto"/>
        <w:ind w:firstLine="480" w:firstLineChars="200"/>
        <w:rPr>
          <w:sz w:val="24"/>
          <w:szCs w:val="24"/>
        </w:rPr>
      </w:pPr>
      <w:r>
        <w:rPr>
          <w:rFonts w:hint="eastAsia"/>
          <w:sz w:val="24"/>
          <w:szCs w:val="24"/>
        </w:rPr>
        <w:t>2</w:t>
      </w:r>
      <w:r>
        <w:rPr>
          <w:sz w:val="24"/>
          <w:szCs w:val="24"/>
        </w:rPr>
        <w:t>.3本评价指标</w:t>
      </w:r>
      <w:r>
        <w:rPr>
          <w:rFonts w:hint="eastAsia"/>
          <w:sz w:val="24"/>
          <w:szCs w:val="24"/>
        </w:rPr>
        <w:t>根据发展需要适时</w:t>
      </w:r>
      <w:r>
        <w:rPr>
          <w:sz w:val="24"/>
          <w:szCs w:val="24"/>
        </w:rPr>
        <w:t>修订。</w:t>
      </w:r>
    </w:p>
    <w:sectPr>
      <w:pgSz w:w="16838" w:h="11906" w:orient="landscape"/>
      <w:pgMar w:top="1800" w:right="1440" w:bottom="1800" w:left="144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0"/>
    <w:pPr>
      <w:keepNext/>
      <w:keepLines/>
      <w:jc w:val="center"/>
      <w:outlineLvl w:val="0"/>
    </w:pPr>
    <w:rPr>
      <w:rFonts w:ascii="Calibri" w:hAnsi="Calibri" w:eastAsia="华文中宋" w:cs="Times New Roman"/>
      <w:b/>
      <w:bCs/>
      <w:kern w:val="44"/>
      <w:sz w:val="36"/>
      <w:szCs w:val="44"/>
    </w:rPr>
  </w:style>
  <w:style w:type="character" w:default="1" w:styleId="9">
    <w:name w:val="Default Paragraph Font"/>
    <w:semiHidden/>
    <w:unhideWhenUsed/>
    <w:uiPriority w:val="1"/>
  </w:style>
  <w:style w:type="paragraph" w:styleId="3">
    <w:name w:val="annotation subject"/>
    <w:basedOn w:val="4"/>
    <w:next w:val="4"/>
    <w:link w:val="20"/>
    <w:semiHidden/>
    <w:unhideWhenUsed/>
    <w:uiPriority w:val="99"/>
    <w:rPr>
      <w:b/>
      <w:bCs/>
    </w:rPr>
  </w:style>
  <w:style w:type="paragraph" w:styleId="4">
    <w:name w:val="annotation text"/>
    <w:basedOn w:val="1"/>
    <w:link w:val="19"/>
    <w:semiHidden/>
    <w:unhideWhenUsed/>
    <w:uiPriority w:val="99"/>
    <w:pPr>
      <w:jc w:val="left"/>
    </w:pPr>
  </w:style>
  <w:style w:type="paragraph" w:styleId="5">
    <w:name w:val="Balloon Text"/>
    <w:basedOn w:val="1"/>
    <w:link w:val="18"/>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semiHidden/>
    <w:unhideWhenUsed/>
    <w:uiPriority w:val="99"/>
    <w:rPr>
      <w:sz w:val="21"/>
      <w:szCs w:val="21"/>
    </w:rPr>
  </w:style>
  <w:style w:type="paragraph" w:customStyle="1" w:styleId="11">
    <w:name w:val="_Style 2"/>
    <w:basedOn w:val="1"/>
    <w:next w:val="12"/>
    <w:qFormat/>
    <w:uiPriority w:val="34"/>
    <w:pPr>
      <w:ind w:firstLine="420" w:firstLineChars="200"/>
    </w:pPr>
    <w:rPr>
      <w:rFonts w:ascii="Calibri" w:hAnsi="Calibri" w:eastAsia="宋体" w:cs="Times New Roman"/>
    </w:rPr>
  </w:style>
  <w:style w:type="paragraph" w:customStyle="1" w:styleId="12">
    <w:name w:val="List Paragraph"/>
    <w:basedOn w:val="1"/>
    <w:qFormat/>
    <w:uiPriority w:val="34"/>
    <w:pPr>
      <w:ind w:firstLine="420" w:firstLineChars="200"/>
    </w:pPr>
  </w:style>
  <w:style w:type="paragraph" w:customStyle="1" w:styleId="13">
    <w:name w:val="No Spacing"/>
    <w:qFormat/>
    <w:uiPriority w:val="1"/>
    <w:pPr>
      <w:widowControl w:val="0"/>
      <w:jc w:val="both"/>
    </w:pPr>
    <w:rPr>
      <w:rFonts w:ascii="Calibri" w:hAnsi="Calibri" w:eastAsia="宋体" w:cs="黑体"/>
      <w:kern w:val="2"/>
      <w:sz w:val="21"/>
      <w:szCs w:val="22"/>
      <w:lang w:val="en-US" w:eastAsia="zh-CN" w:bidi="ar-SA"/>
    </w:rPr>
  </w:style>
  <w:style w:type="character" w:customStyle="1" w:styleId="14">
    <w:name w:val="标题 1 字符"/>
    <w:basedOn w:val="9"/>
    <w:uiPriority w:val="9"/>
    <w:rPr>
      <w:b/>
      <w:bCs/>
      <w:kern w:val="44"/>
      <w:sz w:val="44"/>
      <w:szCs w:val="44"/>
    </w:rPr>
  </w:style>
  <w:style w:type="character" w:customStyle="1" w:styleId="15">
    <w:name w:val="标题 1 Char Char"/>
    <w:link w:val="2"/>
    <w:uiPriority w:val="0"/>
    <w:rPr>
      <w:rFonts w:ascii="Calibri" w:hAnsi="Calibri" w:eastAsia="华文中宋" w:cs="Times New Roman"/>
      <w:b/>
      <w:bCs/>
      <w:kern w:val="44"/>
      <w:sz w:val="36"/>
      <w:szCs w:val="44"/>
    </w:rPr>
  </w:style>
  <w:style w:type="character" w:customStyle="1" w:styleId="16">
    <w:name w:val="页眉 Char Char"/>
    <w:basedOn w:val="9"/>
    <w:link w:val="7"/>
    <w:uiPriority w:val="99"/>
    <w:rPr>
      <w:sz w:val="18"/>
      <w:szCs w:val="18"/>
    </w:rPr>
  </w:style>
  <w:style w:type="character" w:customStyle="1" w:styleId="17">
    <w:name w:val="页脚 Char Char"/>
    <w:basedOn w:val="9"/>
    <w:link w:val="6"/>
    <w:uiPriority w:val="99"/>
    <w:rPr>
      <w:sz w:val="18"/>
      <w:szCs w:val="18"/>
    </w:rPr>
  </w:style>
  <w:style w:type="character" w:customStyle="1" w:styleId="18">
    <w:name w:val="批注框文本 Char Char"/>
    <w:basedOn w:val="9"/>
    <w:link w:val="5"/>
    <w:uiPriority w:val="99"/>
    <w:rPr>
      <w:sz w:val="18"/>
      <w:szCs w:val="18"/>
    </w:rPr>
  </w:style>
  <w:style w:type="character" w:customStyle="1" w:styleId="19">
    <w:name w:val="批注文字 Char Char"/>
    <w:basedOn w:val="9"/>
    <w:link w:val="4"/>
    <w:uiPriority w:val="99"/>
    <w:rPr/>
  </w:style>
  <w:style w:type="character" w:customStyle="1" w:styleId="20">
    <w:name w:val="批注主题 Char Char"/>
    <w:basedOn w:val="19"/>
    <w:link w:val="3"/>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920</Words>
  <Characters>5244</Characters>
  <Lines>43</Lines>
  <Paragraphs>12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2019-08-12T07:15:00Z</dcterms:created>
  <dc:creator>ru Jack</dc:creator>
  <cp:lastModifiedBy>goveditor</cp:lastModifiedBy>
  <cp:lastPrinted>2019-07-31T03:10:00Z</cp:lastPrinted>
  <dcterms:modified xsi:type="dcterms:W3CDTF">2019-08-27T02:17:15Z</dcterms:modified>
  <dc:title>步行街改造提升评价指标（2019版）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