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仿宋_GB2312" w:hAnsi="仿宋_GB2312" w:eastAsia="仿宋_GB2312" w:cs="仿宋_GB2312"/>
          <w:sz w:val="32"/>
          <w:szCs w:val="32"/>
        </w:rPr>
      </w:pPr>
      <w:bookmarkStart w:id="0" w:name="_GoBack"/>
      <w:bookmarkEnd w:id="0"/>
    </w:p>
    <w:p>
      <w:pPr>
        <w:spacing w:line="276" w:lineRule="auto"/>
        <w:jc w:val="center"/>
        <w:rPr>
          <w:rFonts w:ascii="华文中宋" w:hAnsi="华文中宋" w:eastAsia="华文中宋" w:cs="宋体"/>
          <w:b/>
          <w:bCs/>
          <w:kern w:val="0"/>
          <w:sz w:val="42"/>
          <w:szCs w:val="42"/>
        </w:rPr>
      </w:pPr>
      <w:r>
        <w:rPr>
          <w:rFonts w:hint="eastAsia" w:ascii="华文中宋" w:hAnsi="华文中宋" w:eastAsia="华文中宋" w:cs="宋体"/>
          <w:b/>
          <w:bCs/>
          <w:kern w:val="0"/>
          <w:sz w:val="42"/>
          <w:szCs w:val="42"/>
        </w:rPr>
        <w:t>《中国清洁发展机制基金管理办法》</w:t>
      </w:r>
    </w:p>
    <w:p>
      <w:pPr>
        <w:spacing w:line="276" w:lineRule="auto"/>
        <w:jc w:val="center"/>
        <w:rPr>
          <w:rFonts w:ascii="华文中宋" w:hAnsi="华文中宋" w:eastAsia="华文中宋" w:cs="宋体"/>
          <w:b/>
          <w:bCs/>
          <w:kern w:val="0"/>
          <w:sz w:val="42"/>
          <w:szCs w:val="42"/>
        </w:rPr>
      </w:pPr>
      <w:r>
        <w:rPr>
          <w:rFonts w:hint="eastAsia" w:ascii="华文中宋" w:hAnsi="华文中宋" w:eastAsia="华文中宋" w:cs="宋体"/>
          <w:b/>
          <w:bCs/>
          <w:kern w:val="0"/>
          <w:sz w:val="42"/>
          <w:szCs w:val="42"/>
        </w:rPr>
        <w:t>(修订草案征求意见稿)</w:t>
      </w:r>
    </w:p>
    <w:p>
      <w:pPr>
        <w:spacing w:line="360" w:lineRule="auto"/>
        <w:jc w:val="center"/>
        <w:rPr>
          <w:rFonts w:ascii="仿宋_GB2312" w:hAnsi="宋体" w:eastAsia="仿宋_GB2312" w:cs="宋体"/>
          <w:b/>
          <w:bCs/>
          <w:kern w:val="0"/>
          <w:sz w:val="30"/>
          <w:szCs w:val="30"/>
        </w:rPr>
      </w:pPr>
    </w:p>
    <w:p>
      <w:pPr>
        <w:spacing w:line="360" w:lineRule="auto"/>
        <w:jc w:val="center"/>
        <w:rPr>
          <w:rFonts w:ascii="黑体" w:hAnsi="黑体" w:eastAsia="黑体" w:cs="宋体"/>
          <w:b/>
          <w:bCs/>
          <w:kern w:val="0"/>
          <w:sz w:val="32"/>
          <w:szCs w:val="32"/>
        </w:rPr>
      </w:pPr>
      <w:r>
        <w:rPr>
          <w:rFonts w:hint="eastAsia" w:ascii="黑体" w:hAnsi="黑体" w:eastAsia="黑体" w:cs="宋体"/>
          <w:b/>
          <w:bCs/>
          <w:kern w:val="0"/>
          <w:sz w:val="32"/>
          <w:szCs w:val="32"/>
        </w:rPr>
        <w:t>第一章 总则</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为加强和规范中国清洁发展机制基金（以下简称基金）的资金筹集、管理和使用，实现基金宗旨，制定本办法。</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基金是由国家批准设立的政策性基金，按照市场化模式进行管理。</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基金的宗旨是支持国家应对气候变化、污染防治和生态保护等绿色低碳领域活动，促进经济社会高质量发展。</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基金的筹集、管理和使用，应当遵循公开、公正、安全、效率、专款专用的原则。</w:t>
      </w:r>
    </w:p>
    <w:p>
      <w:pPr>
        <w:pStyle w:val="11"/>
        <w:spacing w:line="360" w:lineRule="auto"/>
        <w:ind w:left="540" w:firstLine="0" w:firstLineChars="0"/>
        <w:rPr>
          <w:rFonts w:ascii="仿宋_GB2312" w:hAnsi="宋体" w:eastAsia="仿宋_GB2312" w:cs="宋体"/>
          <w:kern w:val="0"/>
          <w:sz w:val="32"/>
          <w:szCs w:val="32"/>
        </w:rPr>
      </w:pPr>
    </w:p>
    <w:p>
      <w:pPr>
        <w:spacing w:line="360" w:lineRule="auto"/>
        <w:jc w:val="center"/>
        <w:rPr>
          <w:rFonts w:ascii="黑体" w:hAnsi="黑体" w:eastAsia="黑体"/>
          <w:sz w:val="32"/>
          <w:szCs w:val="32"/>
        </w:rPr>
      </w:pPr>
      <w:r>
        <w:rPr>
          <w:rFonts w:hint="eastAsia" w:ascii="黑体" w:hAnsi="黑体" w:eastAsia="黑体" w:cs="宋体"/>
          <w:b/>
          <w:bCs/>
          <w:kern w:val="0"/>
          <w:sz w:val="32"/>
          <w:szCs w:val="32"/>
        </w:rPr>
        <w:t>第二章　基金组织架构</w:t>
      </w:r>
    </w:p>
    <w:p>
      <w:pPr>
        <w:pStyle w:val="11"/>
        <w:numPr>
          <w:ilvl w:val="0"/>
          <w:numId w:val="1"/>
        </w:numPr>
        <w:spacing w:line="360" w:lineRule="auto"/>
        <w:ind w:left="0" w:firstLine="540" w:firstLineChars="0"/>
        <w:rPr>
          <w:rFonts w:ascii="仿宋_GB2312" w:eastAsia="仿宋_GB2312"/>
          <w:sz w:val="32"/>
          <w:szCs w:val="32"/>
        </w:rPr>
      </w:pPr>
      <w:r>
        <w:rPr>
          <w:rFonts w:hint="eastAsia" w:ascii="仿宋_GB2312" w:hAnsi="宋体" w:eastAsia="仿宋_GB2312" w:cs="宋体"/>
          <w:kern w:val="0"/>
          <w:sz w:val="32"/>
          <w:szCs w:val="32"/>
        </w:rPr>
        <w:t>基金的组织架构由基金政策指导委员会和基金管理中心组成。</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基金政策指导委员会是关于基金事务的部际议事机构，负责对基金进行政策指导。                                                                                      </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基金政策指导委员会由财政部、生态环境部、外交部、发展改革委、科学技术部、农业农村部和中国气象局的代表组成。</w:t>
      </w:r>
    </w:p>
    <w:p>
      <w:pPr>
        <w:pStyle w:val="11"/>
        <w:widowControl/>
        <w:spacing w:line="360" w:lineRule="auto"/>
        <w:ind w:firstLine="720" w:firstLineChars="225"/>
        <w:rPr>
          <w:kern w:val="0"/>
        </w:rPr>
      </w:pPr>
      <w:r>
        <w:rPr>
          <w:rFonts w:hint="eastAsia" w:ascii="仿宋_GB2312" w:hAnsi="宋体" w:eastAsia="仿宋_GB2312" w:cs="宋体"/>
          <w:kern w:val="0"/>
          <w:sz w:val="32"/>
          <w:szCs w:val="32"/>
        </w:rPr>
        <w:t>基金政策指导委员会设联合主席，由财政部和生态环境部的代表担任。</w:t>
      </w:r>
    </w:p>
    <w:p>
      <w:pPr>
        <w:pStyle w:val="11"/>
        <w:numPr>
          <w:ilvl w:val="0"/>
          <w:numId w:val="1"/>
        </w:numPr>
        <w:spacing w:line="360" w:lineRule="auto"/>
        <w:ind w:left="0" w:firstLine="540" w:firstLineChars="0"/>
        <w:rPr>
          <w:rFonts w:ascii="仿宋_GB2312" w:eastAsia="仿宋_GB2312"/>
          <w:sz w:val="32"/>
          <w:szCs w:val="32"/>
        </w:rPr>
      </w:pPr>
      <w:r>
        <w:rPr>
          <w:rFonts w:hint="eastAsia" w:ascii="仿宋_GB2312" w:hAnsi="宋体" w:eastAsia="仿宋_GB2312" w:cs="宋体"/>
          <w:kern w:val="0"/>
          <w:sz w:val="32"/>
          <w:szCs w:val="32"/>
        </w:rPr>
        <w:t xml:space="preserve">基金政策指导委员会履行下列职责: </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eastAsia="仿宋_GB2312"/>
          <w:sz w:val="32"/>
          <w:szCs w:val="32"/>
        </w:rPr>
        <w:t>（一）指导制定基</w:t>
      </w:r>
      <w:r>
        <w:rPr>
          <w:rFonts w:hint="eastAsia" w:ascii="仿宋_GB2312" w:hAnsi="宋体" w:eastAsia="仿宋_GB2312" w:cs="宋体"/>
          <w:kern w:val="0"/>
          <w:sz w:val="32"/>
          <w:szCs w:val="32"/>
        </w:rPr>
        <w:t>金基本管理制度；</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（二）对基金发展</w:t>
      </w:r>
      <w:r>
        <w:rPr>
          <w:rFonts w:ascii="仿宋_GB2312" w:hAnsi="宋体" w:eastAsia="仿宋_GB2312" w:cs="宋体"/>
          <w:kern w:val="0"/>
          <w:sz w:val="32"/>
          <w:szCs w:val="32"/>
        </w:rPr>
        <w:t>方向、</w:t>
      </w:r>
      <w:r>
        <w:rPr>
          <w:rFonts w:hint="eastAsia" w:ascii="仿宋_GB2312" w:hAnsi="宋体" w:eastAsia="仿宋_GB2312" w:cs="宋体"/>
          <w:kern w:val="0"/>
          <w:sz w:val="32"/>
          <w:szCs w:val="32"/>
        </w:rPr>
        <w:t>中长期发展战略和</w:t>
      </w:r>
      <w:r>
        <w:rPr>
          <w:rFonts w:ascii="仿宋_GB2312" w:hAnsi="宋体" w:eastAsia="仿宋_GB2312" w:cs="宋体"/>
          <w:kern w:val="0"/>
          <w:sz w:val="32"/>
          <w:szCs w:val="32"/>
        </w:rPr>
        <w:t>业务发展</w:t>
      </w:r>
      <w:r>
        <w:rPr>
          <w:rFonts w:hint="eastAsia" w:ascii="仿宋_GB2312" w:hAnsi="宋体" w:eastAsia="仿宋_GB2312" w:cs="宋体"/>
          <w:kern w:val="0"/>
          <w:sz w:val="32"/>
          <w:szCs w:val="32"/>
        </w:rPr>
        <w:t>给予政策</w:t>
      </w:r>
      <w:r>
        <w:rPr>
          <w:rFonts w:ascii="仿宋_GB2312" w:hAnsi="宋体" w:eastAsia="仿宋_GB2312" w:cs="宋体"/>
          <w:kern w:val="0"/>
          <w:sz w:val="32"/>
          <w:szCs w:val="32"/>
        </w:rPr>
        <w:t>性</w:t>
      </w:r>
      <w:r>
        <w:rPr>
          <w:rFonts w:hint="eastAsia" w:ascii="仿宋_GB2312" w:hAnsi="宋体" w:eastAsia="仿宋_GB2312" w:cs="宋体"/>
          <w:kern w:val="0"/>
          <w:sz w:val="32"/>
          <w:szCs w:val="32"/>
        </w:rPr>
        <w:t xml:space="preserve">指导；     </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（三）对赠款支持方向、领域、政策、规模提出指导意见；               </w:t>
      </w:r>
    </w:p>
    <w:p>
      <w:pPr>
        <w:pStyle w:val="11"/>
        <w:widowControl/>
        <w:spacing w:line="360" w:lineRule="auto"/>
        <w:ind w:firstLine="720" w:firstLineChars="225"/>
        <w:rPr>
          <w:kern w:val="0"/>
        </w:rPr>
      </w:pPr>
      <w:r>
        <w:rPr>
          <w:rFonts w:hint="eastAsia" w:ascii="仿宋_GB2312" w:hAnsi="宋体" w:eastAsia="仿宋_GB2312" w:cs="宋体"/>
          <w:kern w:val="0"/>
          <w:sz w:val="32"/>
          <w:szCs w:val="32"/>
        </w:rPr>
        <w:t>（四）对其他影响基金发展的重大事项进行研究并提出指导意见。</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基金政策指导委员会会议由主席单位召集和主持。</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基金政策指导委员会下设秘书处，由基金管理中心承担具体工作。</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基金管理中心是基金的管理机构，具体负责基金的筹集、管理和使用工作，由财政部归口管理。</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基金管理中心履行下列职责：</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（一）起草基金基本管理制度和制定基金具体运行管理规定；</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（二）筹集和管理基金资金；</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（三）组织开展赠款、有偿使用和理财等业务；</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（四）对有偿使用和赠款项目进行监督管理；                                                      </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（五）向基金政策指导委员会报告基金年度业务开展等情况；</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（六）履行基金政策指导委员会秘书处职责；                                                      </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（七）开展其他符合基金宗旨的活动。</w:t>
      </w:r>
    </w:p>
    <w:p>
      <w:pPr>
        <w:spacing w:line="360" w:lineRule="auto"/>
        <w:jc w:val="center"/>
        <w:rPr>
          <w:rFonts w:ascii="黑体" w:hAnsi="黑体" w:eastAsia="黑体" w:cs="宋体"/>
          <w:b/>
          <w:bCs/>
          <w:kern w:val="0"/>
          <w:sz w:val="32"/>
          <w:szCs w:val="32"/>
        </w:rPr>
      </w:pPr>
    </w:p>
    <w:p>
      <w:pPr>
        <w:spacing w:line="360" w:lineRule="auto"/>
        <w:jc w:val="center"/>
        <w:rPr>
          <w:rFonts w:ascii="黑体" w:hAnsi="黑体" w:eastAsia="黑体" w:cs="宋体"/>
          <w:b/>
          <w:bCs/>
          <w:kern w:val="0"/>
          <w:sz w:val="32"/>
          <w:szCs w:val="32"/>
        </w:rPr>
      </w:pPr>
      <w:r>
        <w:rPr>
          <w:rFonts w:hint="eastAsia" w:ascii="黑体" w:hAnsi="黑体" w:eastAsia="黑体" w:cs="宋体"/>
          <w:b/>
          <w:bCs/>
          <w:kern w:val="0"/>
          <w:sz w:val="32"/>
          <w:szCs w:val="32"/>
        </w:rPr>
        <w:t>第三章　基金筹集</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基金来源包括：</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（一）通过清洁发展机制项目转让温室气体减排量所获得收入中属于国家所有的部分；</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（二）基金运营收入；</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（三）国内外机构、组织和个人捐赠；</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（四）其他来源。</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本办法所称减排量，是指经国家批准，通过清洁发展机制项目转让的温室气体减排量；减排量收入，是指转让减排量所获得的收入。</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减排量收入由国家和实施清洁发展机制项目的企业（以下称项目业主）按照规定的比例分别所有。减排量收入中属于国家所有的部分（以下称国家收入）全额纳入基金。</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本办法所称基金运营收入，是指在本办法规定的使用范围内，基金开展有偿使用、理财等所获得的收入。</w:t>
      </w:r>
    </w:p>
    <w:p>
      <w:pPr>
        <w:pStyle w:val="11"/>
        <w:spacing w:line="360" w:lineRule="auto"/>
        <w:ind w:left="540" w:firstLine="0" w:firstLineChars="0"/>
        <w:rPr>
          <w:rFonts w:ascii="仿宋_GB2312" w:hAnsi="宋体" w:eastAsia="仿宋_GB2312" w:cs="宋体"/>
          <w:kern w:val="0"/>
          <w:sz w:val="32"/>
          <w:szCs w:val="32"/>
        </w:rPr>
      </w:pPr>
    </w:p>
    <w:p>
      <w:pPr>
        <w:spacing w:line="360" w:lineRule="auto"/>
        <w:jc w:val="center"/>
        <w:rPr>
          <w:rFonts w:ascii="黑体" w:hAnsi="黑体" w:eastAsia="黑体" w:cs="宋体"/>
          <w:b/>
          <w:bCs/>
          <w:kern w:val="0"/>
          <w:sz w:val="32"/>
          <w:szCs w:val="32"/>
        </w:rPr>
      </w:pPr>
      <w:r>
        <w:rPr>
          <w:rFonts w:hint="eastAsia" w:ascii="黑体" w:hAnsi="黑体" w:eastAsia="黑体" w:cs="宋体"/>
          <w:b/>
          <w:bCs/>
          <w:kern w:val="0"/>
          <w:sz w:val="32"/>
          <w:szCs w:val="32"/>
        </w:rPr>
        <w:t>第四章　基金使用</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基金使用采取赠款、有偿使用、理财等方式。基金通过有偿使用和理财获取合理收益，以做到保本微利，实现可持续发展。</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基金通过安排适度规模赠款支持国家应对气候变化政策研究、能力建设和提高公众应对气候变化意识等相关活动。</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基金通过有偿使用方式支持低碳发展、生态保护以及有利于产生应对气候变化效益等投资活动。</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基金通过购买债券、银行存款等形式开展理财活动。</w:t>
      </w:r>
    </w:p>
    <w:p>
      <w:pPr>
        <w:pStyle w:val="11"/>
        <w:numPr>
          <w:ilvl w:val="0"/>
          <w:numId w:val="1"/>
        </w:numPr>
        <w:spacing w:line="360" w:lineRule="auto"/>
        <w:ind w:left="0" w:firstLine="72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基金支出包括赠款支出和基础管理费支出。</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基金赠款年度支出规模根据基金上年度收益情况和国家应对气候变化实际工作需要确定。</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本办法所称基础管理费支出，是指基金筹集、管理、使用过程中的相关管理费用。</w:t>
      </w:r>
    </w:p>
    <w:p>
      <w:pPr>
        <w:pStyle w:val="11"/>
        <w:widowControl/>
        <w:spacing w:line="360" w:lineRule="auto"/>
        <w:ind w:firstLine="720" w:firstLineChars="225"/>
        <w:rPr>
          <w:rFonts w:ascii="仿宋_GB2312" w:hAnsi="宋体" w:eastAsia="仿宋_GB2312" w:cs="宋体"/>
          <w:kern w:val="0"/>
          <w:sz w:val="32"/>
          <w:szCs w:val="32"/>
        </w:rPr>
      </w:pPr>
      <w:r>
        <w:rPr>
          <w:rFonts w:hint="eastAsia" w:ascii="仿宋_GB2312" w:hAnsi="宋体" w:eastAsia="仿宋_GB2312" w:cs="宋体"/>
          <w:kern w:val="0"/>
          <w:sz w:val="32"/>
          <w:szCs w:val="32"/>
        </w:rPr>
        <w:t>支出具体要求在基金财务管理办法中予以明确。</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基金管理中心应当对基金使用进行风险管理。</w:t>
      </w:r>
    </w:p>
    <w:p>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基金不得用于不符合其宗旨的赞助和捐赠支出，不得从事股票、股票型证券投资基金、房地产以及期货等高风险金融衍生产品投资。</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基金与基金管理中心财务应当分别建账管理。</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财政部负责制定基金财务管理办法，并对基金使用情况和会计记录进行监督检查。</w:t>
      </w:r>
    </w:p>
    <w:p>
      <w:pPr>
        <w:spacing w:line="360" w:lineRule="auto"/>
        <w:jc w:val="center"/>
        <w:rPr>
          <w:rFonts w:ascii="黑体" w:hAnsi="黑体" w:eastAsia="黑体" w:cs="宋体"/>
          <w:b/>
          <w:bCs/>
          <w:kern w:val="0"/>
          <w:sz w:val="32"/>
          <w:szCs w:val="32"/>
        </w:rPr>
      </w:pPr>
    </w:p>
    <w:p>
      <w:pPr>
        <w:spacing w:line="360" w:lineRule="auto"/>
        <w:jc w:val="center"/>
        <w:rPr>
          <w:rFonts w:ascii="黑体" w:hAnsi="黑体" w:eastAsia="黑体" w:cs="宋体"/>
          <w:b/>
          <w:bCs/>
          <w:kern w:val="0"/>
          <w:sz w:val="32"/>
          <w:szCs w:val="32"/>
        </w:rPr>
      </w:pPr>
      <w:r>
        <w:rPr>
          <w:rFonts w:hint="eastAsia" w:ascii="黑体" w:hAnsi="黑体" w:eastAsia="黑体" w:cs="宋体"/>
          <w:b/>
          <w:bCs/>
          <w:kern w:val="0"/>
          <w:sz w:val="32"/>
          <w:szCs w:val="32"/>
        </w:rPr>
        <w:t>第五章　赠款管理</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赠款主要用于支持下列事项：</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（一）与应对气候变化相关的政策研究和学术活动；</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（二）与应对气候变化相关的国际合作活动；</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（三）旨在加强应对气候变化能力建设的培训活动；</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（四）旨在提高公众应对气候变化意识的宣传、教育活动；</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（五）符合基金宗旨的其他事项。</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基金管理中心负责按照基金政策指导委员会确定的支持方向、领域和规模等，组织赠款项目征集、评审。</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赠款项目申报单位应当是与应对气候变化工作相关的国务院有关部委和机构、省级政府部门和机构（以下简称项目申报单位）。</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赠款项目的申报、评审、管理和考核验收等应按照基金赠款管理有关规定进行。</w:t>
      </w:r>
    </w:p>
    <w:p>
      <w:pPr>
        <w:pStyle w:val="11"/>
        <w:spacing w:line="360" w:lineRule="auto"/>
        <w:ind w:left="540" w:firstLine="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基金赠款管理规定由生态环境部和财政部另行制定。</w:t>
      </w:r>
    </w:p>
    <w:p>
      <w:pPr>
        <w:pStyle w:val="11"/>
        <w:spacing w:line="360" w:lineRule="auto"/>
        <w:ind w:left="540" w:firstLine="0" w:firstLineChars="0"/>
        <w:rPr>
          <w:rFonts w:ascii="仿宋_GB2312" w:hAnsi="宋体" w:eastAsia="仿宋_GB2312" w:cs="宋体"/>
          <w:kern w:val="0"/>
          <w:sz w:val="32"/>
          <w:szCs w:val="32"/>
        </w:rPr>
      </w:pPr>
    </w:p>
    <w:p>
      <w:pPr>
        <w:spacing w:line="360" w:lineRule="auto"/>
        <w:jc w:val="center"/>
        <w:rPr>
          <w:rFonts w:ascii="黑体" w:hAnsi="黑体" w:eastAsia="黑体" w:cs="宋体"/>
          <w:b/>
          <w:bCs/>
          <w:kern w:val="0"/>
          <w:sz w:val="32"/>
          <w:szCs w:val="32"/>
        </w:rPr>
      </w:pPr>
      <w:r>
        <w:rPr>
          <w:rFonts w:hint="eastAsia" w:ascii="黑体" w:hAnsi="黑体" w:eastAsia="黑体" w:cs="宋体"/>
          <w:b/>
          <w:bCs/>
          <w:kern w:val="0"/>
          <w:sz w:val="32"/>
          <w:szCs w:val="32"/>
        </w:rPr>
        <w:t>第六章　有偿使用管理</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有偿使用主要支持以下方面：</w:t>
      </w:r>
    </w:p>
    <w:p>
      <w:pPr>
        <w:pStyle w:val="11"/>
        <w:numPr>
          <w:ilvl w:val="0"/>
          <w:numId w:val="2"/>
        </w:numPr>
        <w:spacing w:line="360" w:lineRule="auto"/>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国家有关生态保护重大决策部署的落实；</w:t>
      </w:r>
    </w:p>
    <w:p>
      <w:pPr>
        <w:pStyle w:val="11"/>
        <w:numPr>
          <w:ilvl w:val="0"/>
          <w:numId w:val="2"/>
        </w:numPr>
        <w:spacing w:line="360" w:lineRule="auto"/>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有利于产生应对气候变化效益的项目投资活动；</w:t>
      </w:r>
    </w:p>
    <w:p>
      <w:pPr>
        <w:pStyle w:val="11"/>
        <w:numPr>
          <w:ilvl w:val="0"/>
          <w:numId w:val="2"/>
        </w:numPr>
        <w:spacing w:line="360" w:lineRule="auto"/>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符合基金宗旨的其他项目。</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基金有偿使用主要采取以下方式：</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（一）债权投资；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（二）股权投资；</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（三）融资性担保；</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（四）符合政策规定的其他方式。</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基金有偿使用依托专业机构开展，实行专业化管理。基金管理中心履行基金管理人职责，负责基金有偿使用组织与监督。</w:t>
      </w:r>
    </w:p>
    <w:p>
      <w:pPr>
        <w:spacing w:line="360" w:lineRule="auto"/>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基金有偿使用形成的各种资产及权益应当按照国家有关财务规章制度进行管理。</w:t>
      </w:r>
    </w:p>
    <w:p>
      <w:pPr>
        <w:pStyle w:val="11"/>
        <w:numPr>
          <w:ilvl w:val="0"/>
          <w:numId w:val="1"/>
        </w:numPr>
        <w:spacing w:line="360" w:lineRule="auto"/>
        <w:ind w:left="0" w:firstLine="540" w:firstLineChars="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基金有偿使用的组织与开展应按照基金有偿使用相关管理规定执行。</w:t>
      </w:r>
    </w:p>
    <w:p>
      <w:pPr>
        <w:pStyle w:val="11"/>
        <w:spacing w:line="360" w:lineRule="auto"/>
        <w:ind w:left="540" w:firstLine="0" w:firstLineChars="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有偿使用管理规定由财政部另行制定。</w:t>
      </w:r>
    </w:p>
    <w:p>
      <w:pPr>
        <w:pStyle w:val="11"/>
        <w:spacing w:line="360" w:lineRule="auto"/>
        <w:ind w:firstLine="538" w:firstLineChars="168"/>
        <w:rPr>
          <w:rFonts w:ascii="仿宋_GB2312" w:hAnsi="宋体" w:eastAsia="仿宋_GB2312" w:cs="宋体"/>
          <w:kern w:val="0"/>
          <w:sz w:val="32"/>
          <w:szCs w:val="32"/>
        </w:rPr>
      </w:pPr>
    </w:p>
    <w:p>
      <w:pPr>
        <w:spacing w:line="360" w:lineRule="auto"/>
        <w:jc w:val="center"/>
        <w:rPr>
          <w:rFonts w:ascii="黑体" w:hAnsi="黑体" w:eastAsia="黑体" w:cs="宋体"/>
          <w:b/>
          <w:bCs/>
          <w:kern w:val="0"/>
          <w:sz w:val="32"/>
          <w:szCs w:val="32"/>
        </w:rPr>
      </w:pPr>
      <w:r>
        <w:rPr>
          <w:rFonts w:hint="eastAsia" w:ascii="黑体" w:hAnsi="黑体" w:eastAsia="黑体" w:cs="宋体"/>
          <w:b/>
          <w:bCs/>
          <w:kern w:val="0"/>
          <w:sz w:val="32"/>
          <w:szCs w:val="32"/>
        </w:rPr>
        <w:t>第七章　附　　则</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基金及其管理中心应当接受审计机构的监督。</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基金的管理机构及其工作人员在基金赠款项目和有偿使用项目管理及其他重大业务中，存在违反本办法规定的行为，以及其他滥用职权、玩忽职守、徇私舞弊等违法违纪行为的，按照《中华人民共和国预算法》、《中华人民共和国公务员法》、《中华人民共和国行政监察法》、《财政违法行为处罚处分条例》等国家有关规定追究相应责任；涉嫌犯罪的，依法移送司法机关处理。</w:t>
      </w:r>
    </w:p>
    <w:p>
      <w:pPr>
        <w:pStyle w:val="11"/>
        <w:numPr>
          <w:ilvl w:val="0"/>
          <w:numId w:val="1"/>
        </w:numPr>
        <w:spacing w:line="360" w:lineRule="auto"/>
        <w:ind w:left="0" w:firstLine="540"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本办法自发布之日起施行，原《中国清洁发展机制基金管理办法》（财政部第59号令）同时废止。</w:t>
      </w:r>
    </w:p>
    <w:p>
      <w:pPr>
        <w:pStyle w:val="11"/>
        <w:spacing w:line="360" w:lineRule="auto"/>
        <w:ind w:left="540" w:firstLine="0" w:firstLineChars="0"/>
        <w:rPr>
          <w:rFonts w:ascii="仿宋_GB2312" w:hAnsi="宋体" w:eastAsia="仿宋_GB2312" w:cs="宋体"/>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仿宋_GB2312">
    <w:altName w:val="仿宋"/>
    <w:panose1 w:val="02010609030101010101"/>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67628"/>
    </w:sdtPr>
    <w:sdtContent>
      <w:p>
        <w:pPr>
          <w:pStyle w:val="5"/>
          <w:jc w:val="center"/>
        </w:pPr>
        <w:r>
          <w:fldChar w:fldCharType="begin"/>
        </w:r>
        <w:r>
          <w:instrText xml:space="preserve"> PAGE   \* MERGEFORMAT </w:instrText>
        </w:r>
        <w:r>
          <w:fldChar w:fldCharType="separate"/>
        </w:r>
        <w:r>
          <w:rPr>
            <w:lang w:val="zh-CN"/>
          </w:rPr>
          <w:t>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32102219">
    <w:nsid w:val="4F66444B"/>
    <w:multiLevelType w:val="multilevel"/>
    <w:tmpl w:val="4F66444B"/>
    <w:lvl w:ilvl="0" w:tentative="1">
      <w:start w:val="1"/>
      <w:numFmt w:val="japaneseCounting"/>
      <w:lvlText w:val="第%1条"/>
      <w:lvlJc w:val="left"/>
      <w:pPr>
        <w:ind w:left="3385" w:hanging="975"/>
      </w:pPr>
      <w:rPr>
        <w:rFonts w:hint="default"/>
        <w:b/>
        <w:color w:val="auto"/>
        <w:sz w:val="30"/>
        <w:szCs w:val="30"/>
        <w:lang w:val="en-US"/>
      </w:rPr>
    </w:lvl>
    <w:lvl w:ilvl="1" w:tentative="1">
      <w:start w:val="1"/>
      <w:numFmt w:val="lowerLetter"/>
      <w:lvlText w:val="%2)"/>
      <w:lvlJc w:val="left"/>
      <w:pPr>
        <w:ind w:left="-582" w:hanging="420"/>
      </w:pPr>
    </w:lvl>
    <w:lvl w:ilvl="2" w:tentative="1">
      <w:start w:val="1"/>
      <w:numFmt w:val="lowerRoman"/>
      <w:lvlText w:val="%3."/>
      <w:lvlJc w:val="right"/>
      <w:pPr>
        <w:ind w:left="-162" w:hanging="420"/>
      </w:pPr>
    </w:lvl>
    <w:lvl w:ilvl="3" w:tentative="1">
      <w:start w:val="1"/>
      <w:numFmt w:val="decimal"/>
      <w:lvlText w:val="%4."/>
      <w:lvlJc w:val="left"/>
      <w:pPr>
        <w:ind w:left="258" w:hanging="420"/>
      </w:pPr>
    </w:lvl>
    <w:lvl w:ilvl="4" w:tentative="1">
      <w:start w:val="1"/>
      <w:numFmt w:val="lowerLetter"/>
      <w:lvlText w:val="%5)"/>
      <w:lvlJc w:val="left"/>
      <w:pPr>
        <w:ind w:left="678" w:hanging="420"/>
      </w:pPr>
    </w:lvl>
    <w:lvl w:ilvl="5" w:tentative="1">
      <w:start w:val="1"/>
      <w:numFmt w:val="lowerRoman"/>
      <w:lvlText w:val="%6."/>
      <w:lvlJc w:val="right"/>
      <w:pPr>
        <w:ind w:left="1098" w:hanging="420"/>
      </w:pPr>
    </w:lvl>
    <w:lvl w:ilvl="6" w:tentative="1">
      <w:start w:val="1"/>
      <w:numFmt w:val="decimal"/>
      <w:lvlText w:val="%7."/>
      <w:lvlJc w:val="left"/>
      <w:pPr>
        <w:ind w:left="1518" w:hanging="420"/>
      </w:pPr>
    </w:lvl>
    <w:lvl w:ilvl="7" w:tentative="1">
      <w:start w:val="1"/>
      <w:numFmt w:val="lowerLetter"/>
      <w:lvlText w:val="%8)"/>
      <w:lvlJc w:val="left"/>
      <w:pPr>
        <w:ind w:left="1938" w:hanging="420"/>
      </w:pPr>
    </w:lvl>
    <w:lvl w:ilvl="8" w:tentative="1">
      <w:start w:val="1"/>
      <w:numFmt w:val="lowerRoman"/>
      <w:lvlText w:val="%9."/>
      <w:lvlJc w:val="right"/>
      <w:pPr>
        <w:ind w:left="2358" w:hanging="420"/>
      </w:pPr>
    </w:lvl>
  </w:abstractNum>
  <w:abstractNum w:abstractNumId="19937078">
    <w:nsid w:val="01303736"/>
    <w:multiLevelType w:val="multilevel"/>
    <w:tmpl w:val="01303736"/>
    <w:lvl w:ilvl="0" w:tentative="1">
      <w:start w:val="1"/>
      <w:numFmt w:val="japaneseCounting"/>
      <w:lvlText w:val="（%1）"/>
      <w:lvlJc w:val="left"/>
      <w:pPr>
        <w:ind w:left="1665" w:hanging="1080"/>
      </w:pPr>
      <w:rPr>
        <w:rFonts w:hint="default"/>
        <w:lang w:val="en-US"/>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num w:numId="1">
    <w:abstractNumId w:val="1332102219"/>
  </w:num>
  <w:num w:numId="2">
    <w:abstractNumId w:val="199370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C3"/>
    <w:rsid w:val="000109FA"/>
    <w:rsid w:val="00027625"/>
    <w:rsid w:val="00044904"/>
    <w:rsid w:val="00052368"/>
    <w:rsid w:val="000612E2"/>
    <w:rsid w:val="0007513C"/>
    <w:rsid w:val="00081068"/>
    <w:rsid w:val="00087814"/>
    <w:rsid w:val="000938D5"/>
    <w:rsid w:val="000A6D25"/>
    <w:rsid w:val="000B78CB"/>
    <w:rsid w:val="000E7E28"/>
    <w:rsid w:val="000F4919"/>
    <w:rsid w:val="000F62AF"/>
    <w:rsid w:val="00101B3F"/>
    <w:rsid w:val="001065F0"/>
    <w:rsid w:val="0012100A"/>
    <w:rsid w:val="00127786"/>
    <w:rsid w:val="0013635D"/>
    <w:rsid w:val="001410E1"/>
    <w:rsid w:val="0017304A"/>
    <w:rsid w:val="00175301"/>
    <w:rsid w:val="00184F05"/>
    <w:rsid w:val="001B04F3"/>
    <w:rsid w:val="001B16B7"/>
    <w:rsid w:val="001B2929"/>
    <w:rsid w:val="001B4A32"/>
    <w:rsid w:val="001B5542"/>
    <w:rsid w:val="001D2FA1"/>
    <w:rsid w:val="001F14A7"/>
    <w:rsid w:val="00240A7D"/>
    <w:rsid w:val="0025322C"/>
    <w:rsid w:val="0025786B"/>
    <w:rsid w:val="00275D50"/>
    <w:rsid w:val="002E06E0"/>
    <w:rsid w:val="002E43F0"/>
    <w:rsid w:val="00312C91"/>
    <w:rsid w:val="00342A65"/>
    <w:rsid w:val="00345312"/>
    <w:rsid w:val="00347616"/>
    <w:rsid w:val="0035113A"/>
    <w:rsid w:val="00352643"/>
    <w:rsid w:val="0035413F"/>
    <w:rsid w:val="00366A9A"/>
    <w:rsid w:val="00370195"/>
    <w:rsid w:val="00370F3B"/>
    <w:rsid w:val="00375171"/>
    <w:rsid w:val="00380685"/>
    <w:rsid w:val="003945A8"/>
    <w:rsid w:val="003D1598"/>
    <w:rsid w:val="003E6731"/>
    <w:rsid w:val="003F10FA"/>
    <w:rsid w:val="00411FEB"/>
    <w:rsid w:val="00433233"/>
    <w:rsid w:val="00442581"/>
    <w:rsid w:val="0044522D"/>
    <w:rsid w:val="00457EC3"/>
    <w:rsid w:val="004768A9"/>
    <w:rsid w:val="00477DCA"/>
    <w:rsid w:val="004A1C65"/>
    <w:rsid w:val="004A5704"/>
    <w:rsid w:val="004B214F"/>
    <w:rsid w:val="004B44D4"/>
    <w:rsid w:val="004B597A"/>
    <w:rsid w:val="004C5496"/>
    <w:rsid w:val="004D0F03"/>
    <w:rsid w:val="004E5E2E"/>
    <w:rsid w:val="004F4191"/>
    <w:rsid w:val="005479E9"/>
    <w:rsid w:val="00561303"/>
    <w:rsid w:val="00576501"/>
    <w:rsid w:val="00581F0F"/>
    <w:rsid w:val="005928C9"/>
    <w:rsid w:val="005A17DB"/>
    <w:rsid w:val="005A7AC6"/>
    <w:rsid w:val="005B1846"/>
    <w:rsid w:val="005E240E"/>
    <w:rsid w:val="005E575A"/>
    <w:rsid w:val="005F2F25"/>
    <w:rsid w:val="006048CD"/>
    <w:rsid w:val="00606196"/>
    <w:rsid w:val="00607D46"/>
    <w:rsid w:val="00610AB9"/>
    <w:rsid w:val="00622D7D"/>
    <w:rsid w:val="00640D46"/>
    <w:rsid w:val="00645B34"/>
    <w:rsid w:val="00646453"/>
    <w:rsid w:val="00646C2A"/>
    <w:rsid w:val="00665A97"/>
    <w:rsid w:val="006820E4"/>
    <w:rsid w:val="006904A6"/>
    <w:rsid w:val="00691961"/>
    <w:rsid w:val="006A3411"/>
    <w:rsid w:val="006A55F4"/>
    <w:rsid w:val="006D027E"/>
    <w:rsid w:val="006D2A19"/>
    <w:rsid w:val="006E0D99"/>
    <w:rsid w:val="00702D9D"/>
    <w:rsid w:val="00712EE8"/>
    <w:rsid w:val="00714611"/>
    <w:rsid w:val="00760F60"/>
    <w:rsid w:val="00761D23"/>
    <w:rsid w:val="00793220"/>
    <w:rsid w:val="007A02BD"/>
    <w:rsid w:val="007A76C8"/>
    <w:rsid w:val="007B35C3"/>
    <w:rsid w:val="007B580E"/>
    <w:rsid w:val="007E342E"/>
    <w:rsid w:val="00803C2D"/>
    <w:rsid w:val="00811957"/>
    <w:rsid w:val="00812155"/>
    <w:rsid w:val="00833C80"/>
    <w:rsid w:val="0085554C"/>
    <w:rsid w:val="00887C9A"/>
    <w:rsid w:val="008C0E30"/>
    <w:rsid w:val="008E5F4C"/>
    <w:rsid w:val="009236C7"/>
    <w:rsid w:val="00933347"/>
    <w:rsid w:val="00935BA7"/>
    <w:rsid w:val="009440B9"/>
    <w:rsid w:val="00951B1D"/>
    <w:rsid w:val="009776E8"/>
    <w:rsid w:val="0098799B"/>
    <w:rsid w:val="009B7443"/>
    <w:rsid w:val="009C1CB4"/>
    <w:rsid w:val="009C5A55"/>
    <w:rsid w:val="00A118C9"/>
    <w:rsid w:val="00A15FAE"/>
    <w:rsid w:val="00A1648E"/>
    <w:rsid w:val="00A44EB0"/>
    <w:rsid w:val="00A64A2D"/>
    <w:rsid w:val="00A85641"/>
    <w:rsid w:val="00A901F4"/>
    <w:rsid w:val="00AA65A7"/>
    <w:rsid w:val="00AB46E6"/>
    <w:rsid w:val="00AB7CA1"/>
    <w:rsid w:val="00AB7F3F"/>
    <w:rsid w:val="00AF0D34"/>
    <w:rsid w:val="00AF23F8"/>
    <w:rsid w:val="00AF378E"/>
    <w:rsid w:val="00AF66DD"/>
    <w:rsid w:val="00B0459A"/>
    <w:rsid w:val="00B31E5C"/>
    <w:rsid w:val="00B4275B"/>
    <w:rsid w:val="00B62741"/>
    <w:rsid w:val="00B67747"/>
    <w:rsid w:val="00B84167"/>
    <w:rsid w:val="00B8457D"/>
    <w:rsid w:val="00B950F3"/>
    <w:rsid w:val="00BB1FF6"/>
    <w:rsid w:val="00BC0343"/>
    <w:rsid w:val="00BD04DC"/>
    <w:rsid w:val="00BE7C8B"/>
    <w:rsid w:val="00BF4A8B"/>
    <w:rsid w:val="00BF5326"/>
    <w:rsid w:val="00BF6128"/>
    <w:rsid w:val="00C136AB"/>
    <w:rsid w:val="00C17EAE"/>
    <w:rsid w:val="00C33B50"/>
    <w:rsid w:val="00C374F7"/>
    <w:rsid w:val="00C50405"/>
    <w:rsid w:val="00C56C29"/>
    <w:rsid w:val="00C64BFD"/>
    <w:rsid w:val="00CA24EF"/>
    <w:rsid w:val="00CF31B0"/>
    <w:rsid w:val="00D13A69"/>
    <w:rsid w:val="00D275A0"/>
    <w:rsid w:val="00D31D26"/>
    <w:rsid w:val="00D5393D"/>
    <w:rsid w:val="00D83CD1"/>
    <w:rsid w:val="00DA4EF4"/>
    <w:rsid w:val="00DD3226"/>
    <w:rsid w:val="00DD7C21"/>
    <w:rsid w:val="00DE4960"/>
    <w:rsid w:val="00E24ADA"/>
    <w:rsid w:val="00E24FEF"/>
    <w:rsid w:val="00EA2249"/>
    <w:rsid w:val="00ED0BE1"/>
    <w:rsid w:val="00ED4639"/>
    <w:rsid w:val="00F02067"/>
    <w:rsid w:val="00F05B46"/>
    <w:rsid w:val="00F15B8C"/>
    <w:rsid w:val="00F500BC"/>
    <w:rsid w:val="00F566F9"/>
    <w:rsid w:val="00F60A9D"/>
    <w:rsid w:val="00F71F48"/>
    <w:rsid w:val="00F76D4F"/>
    <w:rsid w:val="00F859F4"/>
    <w:rsid w:val="00FA2FF9"/>
    <w:rsid w:val="00FA5CE3"/>
    <w:rsid w:val="00FD5A1C"/>
    <w:rsid w:val="00FE2A67"/>
    <w:rsid w:val="05BA34C2"/>
    <w:rsid w:val="1A111C4D"/>
    <w:rsid w:val="372E2688"/>
    <w:rsid w:val="6F440CAD"/>
    <w:rsid w:val="73752D7B"/>
    <w:rsid w:val="73EC550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99"/>
    <w:pPr>
      <w:jc w:val="left"/>
    </w:pPr>
  </w:style>
  <w:style w:type="paragraph" w:styleId="4">
    <w:name w:val="Balloon Text"/>
    <w:basedOn w:val="1"/>
    <w:link w:val="12"/>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1">
    <w:name w:val="List Paragraph"/>
    <w:basedOn w:val="1"/>
    <w:qFormat/>
    <w:uiPriority w:val="34"/>
    <w:pPr>
      <w:ind w:firstLine="420" w:firstLineChars="200"/>
    </w:pPr>
  </w:style>
  <w:style w:type="character" w:customStyle="1" w:styleId="12">
    <w:name w:val="批注框文本 Char"/>
    <w:basedOn w:val="7"/>
    <w:link w:val="4"/>
    <w:semiHidden/>
    <w:qFormat/>
    <w:uiPriority w:val="99"/>
    <w:rPr>
      <w:sz w:val="18"/>
      <w:szCs w:val="18"/>
    </w:rPr>
  </w:style>
  <w:style w:type="character" w:customStyle="1" w:styleId="13">
    <w:name w:val="页眉 Char"/>
    <w:basedOn w:val="7"/>
    <w:link w:val="6"/>
    <w:semiHidden/>
    <w:qFormat/>
    <w:uiPriority w:val="99"/>
    <w:rPr>
      <w:sz w:val="18"/>
      <w:szCs w:val="18"/>
    </w:rPr>
  </w:style>
  <w:style w:type="character" w:customStyle="1" w:styleId="14">
    <w:name w:val="页脚 Char"/>
    <w:basedOn w:val="7"/>
    <w:link w:val="5"/>
    <w:qFormat/>
    <w:uiPriority w:val="99"/>
    <w:rPr>
      <w:sz w:val="18"/>
      <w:szCs w:val="18"/>
    </w:rPr>
  </w:style>
  <w:style w:type="character" w:customStyle="1" w:styleId="15">
    <w:name w:val="批注文字 Char"/>
    <w:basedOn w:val="7"/>
    <w:link w:val="3"/>
    <w:semiHidden/>
    <w:qFormat/>
    <w:uiPriority w:val="99"/>
  </w:style>
  <w:style w:type="character" w:customStyle="1" w:styleId="16">
    <w:name w:val="批注主题 Char"/>
    <w:basedOn w:val="15"/>
    <w:link w:val="2"/>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378</Words>
  <Characters>2158</Characters>
  <Lines>17</Lines>
  <Paragraphs>5</Paragraphs>
  <TotalTime>0</TotalTime>
  <ScaleCrop>false</ScaleCrop>
  <LinksUpToDate>false</LinksUpToDate>
  <CharactersWithSpaces>2531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2020-05-22T06:10:00Z</dcterms:created>
  <dc:creator>dell</dc:creator>
  <cp:lastModifiedBy>editor</cp:lastModifiedBy>
  <cp:lastPrinted>2020-07-09T07:49:00Z</cp:lastPrinted>
  <dcterms:modified xsi:type="dcterms:W3CDTF">2020-07-13T07:17:17Z</dcterms:modified>
  <dc:title>《中国清洁发展机制基金管理办法》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