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8批）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B2-20050396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广州市久邦数码科技有限公司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B2-20110230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广州市红高梁影视文化传播有限公司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B2-20160592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金科物业服务集团有限公司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B2-20170198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北京爱接力科技发展有限公司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B2-20171353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巨龙在线（北京）科技发展有限公司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B2-20172832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广东百家知识产权服务有限公司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B2-20172844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广州市巨镭信息技术有限公司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B2-20180417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广州市跨界整合信息科技有限公司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B2-20181112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上海罗凡投资管理有限公司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B2-20182138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广州市展开信息科技有限公司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B2-20183204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惠州铼摩科技有限公司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B2-20183393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杭州金收金融信息咨询服务有限公司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B2-20194546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山东因脉信息科技有限公司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B64AA7"/>
    <w:rsid w:val="14E05B31"/>
    <w:rsid w:val="151D3654"/>
    <w:rsid w:val="15445C23"/>
    <w:rsid w:val="164E3F87"/>
    <w:rsid w:val="16854E21"/>
    <w:rsid w:val="169E3B43"/>
    <w:rsid w:val="16D55297"/>
    <w:rsid w:val="18675F92"/>
    <w:rsid w:val="1B0D172F"/>
    <w:rsid w:val="1D6D7F50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2B5338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  <w:style w:type="character" w:customStyle="1" w:styleId="11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96</Words>
  <Characters>549</Characters>
  <Lines>4</Lines>
  <Paragraphs>1</Paragraphs>
  <TotalTime>8</TotalTime>
  <ScaleCrop>false</ScaleCrop>
  <LinksUpToDate>false</LinksUpToDate>
  <CharactersWithSpaces>644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yuanhaidong</dc:creator>
  <cp:lastModifiedBy>zhanglintao</cp:lastModifiedBy>
  <cp:lastPrinted>2017-06-21T11:14:00Z</cp:lastPrinted>
  <dcterms:modified xsi:type="dcterms:W3CDTF">2020-08-27T08:14:02Z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