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center"/>
        <w:rPr>
          <w:rFonts w:ascii="方正小标宋简体" w:hAnsi="方正小标宋简体" w:eastAsia="方正小标宋简体" w:cs="方正小标宋简体"/>
          <w:bCs/>
          <w:sz w:val="40"/>
          <w:szCs w:val="40"/>
        </w:rPr>
      </w:pPr>
      <w:bookmarkStart w:id="2" w:name="_GoBack"/>
      <w:bookmarkEnd w:id="2"/>
    </w:p>
    <w:p>
      <w:pPr>
        <w:spacing w:line="580" w:lineRule="exact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ascii="方正小标宋简体" w:hAnsi="方正小标宋简体" w:eastAsia="方正小标宋简体" w:cs="方正小标宋简体"/>
          <w:bCs/>
          <w:sz w:val="44"/>
          <w:szCs w:val="44"/>
        </w:rPr>
        <w:t>前三季度全国12315平台投诉举报情况</w:t>
      </w:r>
    </w:p>
    <w:p>
      <w:pPr>
        <w:spacing w:line="580" w:lineRule="exact"/>
        <w:jc w:val="center"/>
        <w:rPr>
          <w:rFonts w:ascii="楷体" w:hAnsi="楷体" w:eastAsia="楷体" w:cs="楷体"/>
          <w:bCs/>
          <w:sz w:val="32"/>
          <w:szCs w:val="32"/>
        </w:rPr>
      </w:pPr>
    </w:p>
    <w:p>
      <w:pPr>
        <w:shd w:val="clear" w:color="auto" w:fill="FFFFFF"/>
        <w:spacing w:line="580" w:lineRule="exact"/>
        <w:ind w:firstLine="640" w:firstLineChars="20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t>维权战“疫”，始终在线。疫情防控期间，五线合一、辐射全国的12315平台始终站定消费维权最前沿，“连心桥”“风向标”作用凸显。</w:t>
      </w:r>
    </w:p>
    <w:p>
      <w:pPr>
        <w:shd w:val="clear" w:color="auto" w:fill="FFFFFF"/>
        <w:spacing w:line="580" w:lineRule="exact"/>
        <w:ind w:firstLine="640" w:firstLineChars="200"/>
        <w:jc w:val="both"/>
      </w:pPr>
      <w:r>
        <w:rPr>
          <w:rFonts w:hint="eastAsia" w:ascii="仿宋_GB2312" w:eastAsia="仿宋_GB2312"/>
          <w:bCs/>
          <w:sz w:val="32"/>
          <w:szCs w:val="32"/>
        </w:rPr>
        <w:t>今年前三季度</w:t>
      </w:r>
      <w:r>
        <w:rPr>
          <w:rFonts w:ascii="仿宋_GB2312" w:eastAsia="仿宋_GB2312"/>
          <w:bCs/>
          <w:sz w:val="32"/>
          <w:szCs w:val="32"/>
        </w:rPr>
        <w:t>，全国市场监管部门</w:t>
      </w:r>
      <w:r>
        <w:rPr>
          <w:rFonts w:hint="eastAsia" w:ascii="仿宋_GB2312" w:eastAsia="仿宋_GB2312"/>
          <w:bCs/>
          <w:sz w:val="32"/>
          <w:szCs w:val="32"/>
        </w:rPr>
        <w:t>充分运用全国12315平台，接收</w:t>
      </w:r>
      <w:r>
        <w:rPr>
          <w:rFonts w:ascii="仿宋_GB2312" w:eastAsia="仿宋_GB2312"/>
          <w:bCs/>
          <w:sz w:val="32"/>
          <w:szCs w:val="32"/>
        </w:rPr>
        <w:t>消费者投诉举报咨询1211.78</w:t>
      </w:r>
      <w:r>
        <w:rPr>
          <w:rFonts w:hint="eastAsia" w:ascii="仿宋_GB2312" w:eastAsia="仿宋_GB2312"/>
          <w:bCs/>
          <w:sz w:val="32"/>
          <w:szCs w:val="32"/>
        </w:rPr>
        <w:t>万</w:t>
      </w:r>
      <w:r>
        <w:rPr>
          <w:rFonts w:ascii="仿宋_GB2312" w:eastAsia="仿宋_GB2312"/>
          <w:bCs/>
          <w:sz w:val="32"/>
          <w:szCs w:val="32"/>
        </w:rPr>
        <w:t>件。其中，投诉339.97</w:t>
      </w:r>
      <w:r>
        <w:rPr>
          <w:rFonts w:hint="eastAsia" w:ascii="仿宋_GB2312" w:eastAsia="仿宋_GB2312"/>
          <w:bCs/>
          <w:sz w:val="32"/>
          <w:szCs w:val="32"/>
        </w:rPr>
        <w:t>万</w:t>
      </w:r>
      <w:r>
        <w:rPr>
          <w:rFonts w:ascii="仿宋_GB2312" w:eastAsia="仿宋_GB2312"/>
          <w:bCs/>
          <w:sz w:val="32"/>
          <w:szCs w:val="32"/>
        </w:rPr>
        <w:t>件，举报235.98</w:t>
      </w:r>
      <w:r>
        <w:rPr>
          <w:rFonts w:hint="eastAsia" w:ascii="仿宋_GB2312" w:eastAsia="仿宋_GB2312"/>
          <w:bCs/>
          <w:sz w:val="32"/>
          <w:szCs w:val="32"/>
        </w:rPr>
        <w:t>万</w:t>
      </w:r>
      <w:r>
        <w:rPr>
          <w:rFonts w:ascii="仿宋_GB2312" w:eastAsia="仿宋_GB2312"/>
          <w:bCs/>
          <w:sz w:val="32"/>
          <w:szCs w:val="32"/>
        </w:rPr>
        <w:t>件，咨询635.83</w:t>
      </w:r>
      <w:r>
        <w:rPr>
          <w:rFonts w:hint="eastAsia" w:ascii="仿宋_GB2312" w:eastAsia="仿宋_GB2312"/>
          <w:bCs/>
          <w:sz w:val="32"/>
          <w:szCs w:val="32"/>
        </w:rPr>
        <w:t>万</w:t>
      </w:r>
      <w:r>
        <w:rPr>
          <w:rFonts w:ascii="仿宋_GB2312" w:eastAsia="仿宋_GB2312"/>
          <w:bCs/>
          <w:sz w:val="32"/>
          <w:szCs w:val="32"/>
        </w:rPr>
        <w:t>件，</w:t>
      </w:r>
      <w:r>
        <w:rPr>
          <w:rFonts w:hint="eastAsia" w:ascii="仿宋_GB2312" w:eastAsia="仿宋_GB2312"/>
          <w:bCs/>
          <w:sz w:val="32"/>
          <w:szCs w:val="32"/>
        </w:rPr>
        <w:t>为消费者</w:t>
      </w:r>
      <w:r>
        <w:rPr>
          <w:rFonts w:ascii="仿宋_GB2312" w:eastAsia="仿宋_GB2312"/>
          <w:bCs/>
          <w:sz w:val="32"/>
          <w:szCs w:val="32"/>
        </w:rPr>
        <w:t>挽回经济损失22.29</w:t>
      </w:r>
      <w:r>
        <w:rPr>
          <w:rFonts w:hint="eastAsia" w:ascii="仿宋_GB2312" w:eastAsia="仿宋_GB2312"/>
          <w:bCs/>
          <w:sz w:val="32"/>
          <w:szCs w:val="32"/>
        </w:rPr>
        <w:t>亿</w:t>
      </w:r>
      <w:r>
        <w:rPr>
          <w:rFonts w:ascii="仿宋_GB2312" w:eastAsia="仿宋_GB2312"/>
          <w:bCs/>
          <w:sz w:val="32"/>
          <w:szCs w:val="32"/>
        </w:rPr>
        <w:t>元，同比增长</w:t>
      </w:r>
      <w:r>
        <w:rPr>
          <w:rStyle w:val="14"/>
          <w:rFonts w:ascii="仿宋_GB2312" w:eastAsia="仿宋_GB2312"/>
          <w:bCs/>
          <w:sz w:val="32"/>
          <w:szCs w:val="32"/>
        </w:rPr>
        <w:footnoteReference w:id="0"/>
      </w:r>
      <w:r>
        <w:rPr>
          <w:rFonts w:ascii="仿宋_GB2312" w:eastAsia="仿宋_GB2312"/>
          <w:bCs/>
          <w:sz w:val="32"/>
          <w:szCs w:val="32"/>
        </w:rPr>
        <w:t>72.44%。</w:t>
      </w:r>
    </w:p>
    <w:p>
      <w:pPr>
        <w:shd w:val="clear" w:color="auto" w:fill="FFFFFF"/>
        <w:spacing w:line="480" w:lineRule="atLeast"/>
      </w:pPr>
      <w:r>
        <w:rPr>
          <w:rFonts w:hint="eastAsia"/>
        </w:rPr>
        <w:drawing>
          <wp:inline distT="0" distB="0" distL="114300" distR="114300">
            <wp:extent cx="5967730" cy="2959735"/>
            <wp:effectExtent l="0" t="0" r="0" b="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480" w:lineRule="atLeast"/>
      </w:pPr>
    </w:p>
    <w:p>
      <w:pPr>
        <w:shd w:val="clear" w:color="auto" w:fill="FFFFFF"/>
        <w:spacing w:line="480" w:lineRule="atLeast"/>
      </w:pPr>
      <w:r>
        <w:drawing>
          <wp:inline distT="0" distB="0" distL="114300" distR="114300">
            <wp:extent cx="6182995" cy="2622550"/>
            <wp:effectExtent l="0" t="0" r="0" b="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580" w:lineRule="exact"/>
        <w:ind w:firstLine="640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听民声、纾民困、解民忧，从助力精准监管、推动社会共治着眼，全国12315平台</w:t>
      </w:r>
      <w:r>
        <w:rPr>
          <w:rFonts w:hint="eastAsia" w:ascii="仿宋_GB2312" w:hAnsi="仿宋_GB2312" w:eastAsia="仿宋_GB2312" w:cs="仿宋_GB2312"/>
          <w:sz w:val="32"/>
          <w:szCs w:val="32"/>
        </w:rPr>
        <w:t>及时处置与疫情防控相关的投诉举报，切实抓好消费维权，努力维护市场秩序和人民群众利益。</w:t>
      </w:r>
    </w:p>
    <w:p>
      <w:pPr>
        <w:spacing w:line="580" w:lineRule="exact"/>
        <w:ind w:firstLine="640" w:firstLineChars="200"/>
        <w:jc w:val="both"/>
        <w:rPr>
          <w:rFonts w:ascii="仿宋" w:hAnsi="仿宋" w:eastAsia="仿宋" w:cs="黑体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前三季度全国12315平台接收消费者投诉数据主要呈现了三方面特点：12315五线合一成效凸显，为疫情防控大局助力；服务类投诉增幅高于商品类，广告问题突出，倒逼消费提质升级；线上零售直播带货等新兴行业诉求攀升。</w:t>
      </w:r>
    </w:p>
    <w:p>
      <w:pPr>
        <w:spacing w:line="580" w:lineRule="exact"/>
        <w:ind w:firstLine="640" w:firstLineChars="200"/>
        <w:rPr>
          <w:rFonts w:ascii="仿宋" w:hAnsi="仿宋" w:eastAsia="仿宋" w:cs="黑体"/>
          <w:bCs/>
          <w:sz w:val="32"/>
          <w:szCs w:val="32"/>
        </w:rPr>
      </w:pPr>
    </w:p>
    <w:p>
      <w:pPr>
        <w:spacing w:line="580" w:lineRule="exact"/>
        <w:jc w:val="center"/>
        <w:rPr>
          <w:rFonts w:ascii="方正小标宋简体" w:hAnsi="方正小标宋简体" w:eastAsia="方正小标宋简体" w:cs="方正小标宋简体"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Cs/>
          <w:sz w:val="32"/>
          <w:szCs w:val="32"/>
        </w:rPr>
        <w:t>五线合一助力疫情防控大局</w:t>
      </w:r>
    </w:p>
    <w:p>
      <w:pPr>
        <w:spacing w:line="580" w:lineRule="exact"/>
        <w:jc w:val="both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Cs/>
          <w:sz w:val="32"/>
          <w:szCs w:val="32"/>
        </w:rPr>
        <w:t xml:space="preserve">    </w:t>
      </w:r>
      <w:r>
        <w:rPr>
          <w:rFonts w:hint="eastAsia" w:ascii="黑体" w:hAnsi="黑体" w:eastAsia="黑体" w:cs="黑体"/>
          <w:bCs/>
          <w:sz w:val="32"/>
          <w:szCs w:val="32"/>
        </w:rPr>
        <w:t>一是畅通投诉举报渠道，全线提速工作流程</w:t>
      </w:r>
    </w:p>
    <w:p>
      <w:pPr>
        <w:spacing w:line="580" w:lineRule="exact"/>
        <w:ind w:firstLine="640" w:firstLineChars="200"/>
        <w:jc w:val="both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新冠肺炎疫情发生以来，市场监管总局认真贯彻落实党中央、国务院决策部署，针对有关疫情防控的投诉举报咨询大幅增长新情况，迅速指导各地市场监管部门充分发挥全国12315平台作用，畅通投诉举报渠道，全线提速工作流程。</w:t>
      </w:r>
    </w:p>
    <w:p>
      <w:pPr>
        <w:spacing w:line="580" w:lineRule="exact"/>
        <w:ind w:firstLine="640" w:firstLineChars="200"/>
        <w:jc w:val="both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从1月20日至9月30日，全国12315平台共接收野生动物、医疗防护用品（口罩、消毒杀菌用品、抗病毒药品及相关医疗器械等）、民生商品（粮、油、肉、蛋、菜、奶等食品）等疫情相关投诉举报咨询</w:t>
      </w:r>
      <w:r>
        <w:rPr>
          <w:rFonts w:ascii="仿宋_GB2312" w:hAnsi="仿宋_GB2312" w:eastAsia="仿宋_GB2312"/>
          <w:sz w:val="32"/>
          <w:szCs w:val="32"/>
        </w:rPr>
        <w:t>119.89</w:t>
      </w:r>
      <w:r>
        <w:rPr>
          <w:rFonts w:hint="eastAsia" w:ascii="仿宋_GB2312" w:hAnsi="仿宋_GB2312" w:eastAsia="仿宋_GB2312"/>
          <w:sz w:val="32"/>
          <w:szCs w:val="32"/>
        </w:rPr>
        <w:t>万件，办结疫情相关投诉举报咨询</w:t>
      </w:r>
      <w:r>
        <w:rPr>
          <w:rFonts w:ascii="仿宋_GB2312" w:hAnsi="仿宋_GB2312" w:eastAsia="仿宋_GB2312"/>
          <w:sz w:val="32"/>
          <w:szCs w:val="32"/>
        </w:rPr>
        <w:t>117</w:t>
      </w:r>
      <w:r>
        <w:rPr>
          <w:rFonts w:hint="eastAsia" w:ascii="仿宋_GB2312" w:hAnsi="仿宋_GB2312" w:eastAsia="仿宋_GB2312"/>
          <w:sz w:val="32"/>
          <w:szCs w:val="32"/>
        </w:rPr>
        <w:t>.11万</w:t>
      </w:r>
      <w:r>
        <w:rPr>
          <w:rFonts w:ascii="仿宋_GB2312" w:hAnsi="仿宋_GB2312" w:eastAsia="仿宋_GB2312"/>
          <w:sz w:val="32"/>
          <w:szCs w:val="32"/>
        </w:rPr>
        <w:t>件，为消费者</w:t>
      </w:r>
      <w:r>
        <w:rPr>
          <w:rFonts w:hint="eastAsia" w:ascii="仿宋_GB2312" w:hAnsi="仿宋_GB2312" w:eastAsia="仿宋_GB2312"/>
          <w:sz w:val="32"/>
          <w:szCs w:val="32"/>
        </w:rPr>
        <w:t>挽回经济损失</w:t>
      </w:r>
      <w:r>
        <w:rPr>
          <w:rFonts w:ascii="仿宋_GB2312" w:hAnsi="仿宋_GB2312" w:eastAsia="仿宋_GB2312"/>
          <w:sz w:val="32"/>
          <w:szCs w:val="32"/>
        </w:rPr>
        <w:t>7415.2</w:t>
      </w:r>
      <w:r>
        <w:rPr>
          <w:rFonts w:hint="eastAsia" w:ascii="仿宋_GB2312" w:hAnsi="仿宋_GB2312" w:eastAsia="仿宋_GB2312"/>
          <w:sz w:val="32"/>
          <w:szCs w:val="32"/>
        </w:rPr>
        <w:t>万元。</w:t>
      </w:r>
    </w:p>
    <w:p>
      <w:pPr>
        <w:spacing w:line="580" w:lineRule="exact"/>
        <w:ind w:firstLine="640" w:firstLineChars="200"/>
        <w:jc w:val="both"/>
        <w:rPr>
          <w:rFonts w:ascii="仿宋_GB2312" w:hAnsi="仿宋_GB2312" w:eastAsia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数据显示，抗疫期间平台整体运行状态呈现出</w:t>
      </w:r>
      <w:r>
        <w:rPr>
          <w:rFonts w:hint="eastAsia" w:ascii="仿宋_GB2312" w:hAnsi="仿宋_GB2312" w:eastAsia="仿宋_GB2312"/>
          <w:b/>
          <w:bCs/>
          <w:sz w:val="32"/>
          <w:szCs w:val="32"/>
        </w:rPr>
        <w:t>两个“加速度”：</w:t>
      </w:r>
    </w:p>
    <w:p>
      <w:pPr>
        <w:spacing w:line="580" w:lineRule="exact"/>
        <w:ind w:firstLine="643" w:firstLineChars="200"/>
        <w:jc w:val="both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b/>
          <w:bCs/>
          <w:sz w:val="32"/>
          <w:szCs w:val="32"/>
        </w:rPr>
        <w:t>一是投诉举报接收量加速度增长。</w:t>
      </w:r>
      <w:r>
        <w:rPr>
          <w:rFonts w:hint="eastAsia" w:ascii="仿宋_GB2312" w:hAnsi="仿宋_GB2312" w:eastAsia="仿宋_GB2312"/>
          <w:sz w:val="32"/>
          <w:szCs w:val="32"/>
        </w:rPr>
        <w:t>平台</w:t>
      </w:r>
      <w:r>
        <w:rPr>
          <w:rFonts w:ascii="仿宋_GB2312" w:hAnsi="仿宋_GB2312" w:eastAsia="仿宋_GB2312"/>
          <w:sz w:val="32"/>
          <w:szCs w:val="32"/>
        </w:rPr>
        <w:t>单日接收量较疫情发生</w:t>
      </w:r>
      <w:r>
        <w:rPr>
          <w:rFonts w:hint="eastAsia" w:ascii="仿宋_GB2312" w:hAnsi="仿宋_GB2312" w:eastAsia="仿宋_GB2312"/>
          <w:sz w:val="32"/>
          <w:szCs w:val="32"/>
        </w:rPr>
        <w:t>前增长</w:t>
      </w:r>
      <w:r>
        <w:rPr>
          <w:rFonts w:ascii="仿宋_GB2312" w:hAnsi="仿宋_GB2312" w:eastAsia="仿宋_GB2312"/>
          <w:sz w:val="32"/>
          <w:szCs w:val="32"/>
        </w:rPr>
        <w:t>2.23</w:t>
      </w:r>
      <w:r>
        <w:rPr>
          <w:rFonts w:hint="eastAsia" w:ascii="仿宋_GB2312" w:hAnsi="仿宋_GB2312" w:eastAsia="仿宋_GB2312"/>
          <w:sz w:val="32"/>
          <w:szCs w:val="32"/>
        </w:rPr>
        <w:t>倍；峰值日接收量</w:t>
      </w:r>
      <w:r>
        <w:rPr>
          <w:rFonts w:ascii="仿宋_GB2312" w:hAnsi="仿宋_GB2312" w:eastAsia="仿宋_GB2312"/>
          <w:sz w:val="32"/>
          <w:szCs w:val="32"/>
        </w:rPr>
        <w:t>2</w:t>
      </w:r>
      <w:r>
        <w:rPr>
          <w:rFonts w:hint="eastAsia" w:ascii="仿宋_GB2312" w:hAnsi="仿宋_GB2312" w:eastAsia="仿宋_GB2312"/>
          <w:sz w:val="32"/>
          <w:szCs w:val="32"/>
        </w:rPr>
        <w:t>.</w:t>
      </w:r>
      <w:r>
        <w:rPr>
          <w:rFonts w:ascii="仿宋_GB2312" w:hAnsi="仿宋_GB2312" w:eastAsia="仿宋_GB2312"/>
          <w:sz w:val="32"/>
          <w:szCs w:val="32"/>
        </w:rPr>
        <w:t>7</w:t>
      </w:r>
      <w:r>
        <w:rPr>
          <w:rFonts w:hint="eastAsia" w:ascii="仿宋_GB2312" w:hAnsi="仿宋_GB2312" w:eastAsia="仿宋_GB2312"/>
          <w:sz w:val="32"/>
          <w:szCs w:val="32"/>
        </w:rPr>
        <w:t>1万件，较疫情发生前增长</w:t>
      </w:r>
      <w:r>
        <w:rPr>
          <w:rFonts w:ascii="仿宋_GB2312" w:hAnsi="仿宋_GB2312" w:eastAsia="仿宋_GB2312"/>
          <w:sz w:val="32"/>
          <w:szCs w:val="32"/>
        </w:rPr>
        <w:t>15.4</w:t>
      </w:r>
      <w:r>
        <w:rPr>
          <w:rFonts w:hint="eastAsia" w:ascii="仿宋_GB2312" w:hAnsi="仿宋_GB2312" w:eastAsia="仿宋_GB2312"/>
          <w:sz w:val="32"/>
          <w:szCs w:val="32"/>
        </w:rPr>
        <w:t>倍；</w:t>
      </w:r>
    </w:p>
    <w:p>
      <w:pPr>
        <w:spacing w:line="580" w:lineRule="exact"/>
        <w:ind w:firstLine="643" w:firstLineChars="200"/>
        <w:jc w:val="both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b/>
          <w:bCs/>
          <w:sz w:val="32"/>
          <w:szCs w:val="32"/>
        </w:rPr>
        <w:t>二是案件办结效率加速度提升。</w:t>
      </w:r>
      <w:r>
        <w:rPr>
          <w:rFonts w:hint="eastAsia" w:ascii="仿宋_GB2312" w:hAnsi="仿宋_GB2312" w:eastAsia="仿宋_GB2312"/>
          <w:sz w:val="32"/>
          <w:szCs w:val="32"/>
        </w:rPr>
        <w:t>平均办结时间</w:t>
      </w:r>
      <w:r>
        <w:rPr>
          <w:rFonts w:ascii="仿宋_GB2312" w:hAnsi="仿宋_GB2312" w:eastAsia="仿宋_GB2312"/>
          <w:sz w:val="32"/>
          <w:szCs w:val="32"/>
        </w:rPr>
        <w:t>7.36</w:t>
      </w:r>
      <w:r>
        <w:rPr>
          <w:rFonts w:hint="eastAsia" w:ascii="仿宋_GB2312" w:hAnsi="仿宋_GB2312" w:eastAsia="仿宋_GB2312"/>
          <w:sz w:val="32"/>
          <w:szCs w:val="32"/>
        </w:rPr>
        <w:t>天，较疫情发生前提速</w:t>
      </w:r>
      <w:r>
        <w:rPr>
          <w:rFonts w:ascii="仿宋_GB2312" w:hAnsi="仿宋_GB2312" w:eastAsia="仿宋_GB2312"/>
          <w:sz w:val="32"/>
          <w:szCs w:val="32"/>
        </w:rPr>
        <w:t>25.36%</w:t>
      </w:r>
      <w:r>
        <w:rPr>
          <w:rFonts w:hint="eastAsia" w:ascii="仿宋_GB2312" w:hAnsi="仿宋_GB2312" w:eastAsia="仿宋_GB2312"/>
          <w:sz w:val="32"/>
          <w:szCs w:val="32"/>
        </w:rPr>
        <w:t>；立案</w:t>
      </w:r>
      <w:r>
        <w:rPr>
          <w:rFonts w:ascii="仿宋_GB2312" w:hAnsi="仿宋_GB2312" w:eastAsia="仿宋_GB2312"/>
          <w:sz w:val="32"/>
          <w:szCs w:val="32"/>
        </w:rPr>
        <w:t>4</w:t>
      </w:r>
      <w:r>
        <w:rPr>
          <w:rFonts w:hint="eastAsia" w:ascii="仿宋_GB2312" w:hAnsi="仿宋_GB2312" w:eastAsia="仿宋_GB2312"/>
          <w:sz w:val="32"/>
          <w:szCs w:val="32"/>
        </w:rPr>
        <w:t>.66万件，罚没金额</w:t>
      </w:r>
      <w:r>
        <w:rPr>
          <w:rFonts w:ascii="仿宋_GB2312" w:hAnsi="仿宋_GB2312" w:eastAsia="仿宋_GB2312"/>
          <w:sz w:val="32"/>
          <w:szCs w:val="32"/>
        </w:rPr>
        <w:t>1.13</w:t>
      </w:r>
      <w:r>
        <w:rPr>
          <w:rFonts w:hint="eastAsia" w:ascii="仿宋_GB2312" w:hAnsi="仿宋_GB2312" w:eastAsia="仿宋_GB2312"/>
          <w:sz w:val="32"/>
          <w:szCs w:val="32"/>
        </w:rPr>
        <w:t>亿元。</w:t>
      </w:r>
    </w:p>
    <w:p>
      <w:pPr>
        <w:numPr>
          <w:ilvl w:val="255"/>
          <w:numId w:val="0"/>
        </w:numPr>
        <w:spacing w:line="580" w:lineRule="exact"/>
        <w:ind w:firstLine="640" w:firstLineChars="200"/>
        <w:jc w:val="both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二是“互联网+”创新监管机制，五线合一成效显著</w:t>
      </w:r>
    </w:p>
    <w:p>
      <w:pPr>
        <w:numPr>
          <w:ilvl w:val="255"/>
          <w:numId w:val="0"/>
        </w:numPr>
        <w:spacing w:line="580" w:lineRule="exact"/>
        <w:ind w:firstLine="640" w:firstLineChars="20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/>
          <w:bCs/>
          <w:sz w:val="32"/>
          <w:szCs w:val="32"/>
        </w:rPr>
        <w:t>数据说明</w:t>
      </w:r>
      <w:r>
        <w:rPr>
          <w:rFonts w:hint="eastAsia" w:ascii="仿宋_GB2312" w:eastAsia="仿宋_GB2312"/>
          <w:bCs/>
          <w:sz w:val="32"/>
          <w:szCs w:val="32"/>
        </w:rPr>
        <w:t>，</w:t>
      </w:r>
      <w:r>
        <w:rPr>
          <w:rFonts w:ascii="仿宋_GB2312" w:eastAsia="仿宋_GB2312"/>
          <w:bCs/>
          <w:sz w:val="32"/>
          <w:szCs w:val="32"/>
        </w:rPr>
        <w:t>统一、高效、权威的12315行政执法体系建设</w:t>
      </w:r>
      <w:r>
        <w:rPr>
          <w:rFonts w:hint="eastAsia" w:ascii="仿宋_GB2312" w:eastAsia="仿宋_GB2312"/>
          <w:bCs/>
          <w:sz w:val="32"/>
          <w:szCs w:val="32"/>
        </w:rPr>
        <w:t>，五线合一、辐射全国的12315平台在抗击疫情、六稳六保的时代使命中“便民热线”、“连心桥梁”、“监管前哨”的作用愈发凸显。</w:t>
      </w:r>
    </w:p>
    <w:p>
      <w:pPr>
        <w:numPr>
          <w:ilvl w:val="255"/>
          <w:numId w:val="0"/>
        </w:numPr>
        <w:spacing w:line="580" w:lineRule="exact"/>
        <w:ind w:firstLine="640" w:firstLineChars="20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/>
          <w:bCs/>
          <w:sz w:val="32"/>
          <w:szCs w:val="32"/>
        </w:rPr>
        <w:t>按照中央《关于深化市场监管综合行政执法改革的指导意见》要求，2019年8月31日，全国12315平台上线运行</w:t>
      </w:r>
      <w:r>
        <w:rPr>
          <w:rFonts w:hint="eastAsia" w:ascii="仿宋_GB2312" w:eastAsia="仿宋_GB2312"/>
          <w:bCs/>
          <w:sz w:val="32"/>
          <w:szCs w:val="32"/>
        </w:rPr>
        <w:t>。</w:t>
      </w:r>
    </w:p>
    <w:p>
      <w:pPr>
        <w:numPr>
          <w:ilvl w:val="255"/>
          <w:numId w:val="0"/>
        </w:numPr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drawing>
          <wp:inline distT="0" distB="0" distL="114300" distR="114300">
            <wp:extent cx="5895975" cy="2710180"/>
            <wp:effectExtent l="0" t="0" r="9525" b="13970"/>
            <wp:docPr id="5" name="图片 5" descr="首页1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首页123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spacing w:line="580" w:lineRule="exact"/>
        <w:ind w:firstLine="640" w:firstLineChars="20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/>
          <w:bCs/>
          <w:sz w:val="32"/>
          <w:szCs w:val="32"/>
        </w:rPr>
        <w:t>全国市场监管部门将原工商12315、质检12365、食品药品12331、物价12358、知识产权12330统一到12315热线和平台，</w:t>
      </w:r>
      <w:r>
        <w:rPr>
          <w:rFonts w:hint="eastAsia" w:ascii="仿宋_GB2312" w:eastAsia="仿宋_GB2312"/>
          <w:bCs/>
          <w:sz w:val="32"/>
          <w:szCs w:val="32"/>
        </w:rPr>
        <w:t>整合后新增的产品质量、食品安全、价格、药品、化妆品、医疗器械和知识产权等业务，占投诉举报总量的</w:t>
      </w:r>
      <w:r>
        <w:rPr>
          <w:rFonts w:ascii="仿宋_GB2312" w:eastAsia="仿宋_GB2312"/>
          <w:bCs/>
          <w:sz w:val="32"/>
          <w:szCs w:val="32"/>
        </w:rPr>
        <w:t>34.67%</w:t>
      </w:r>
      <w:r>
        <w:rPr>
          <w:rFonts w:hint="eastAsia" w:ascii="仿宋_GB2312" w:eastAsia="仿宋_GB2312"/>
          <w:bCs/>
          <w:sz w:val="32"/>
          <w:szCs w:val="32"/>
        </w:rPr>
        <w:t>。</w:t>
      </w:r>
    </w:p>
    <w:p>
      <w:pPr>
        <w:numPr>
          <w:ilvl w:val="255"/>
          <w:numId w:val="0"/>
        </w:numPr>
        <w:spacing w:line="580" w:lineRule="exact"/>
        <w:ind w:firstLine="640" w:firstLineChars="20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t>通过整合建设全国12315平台，消费者可以随时随地向市场监管部门提交诉求，可以选择与入驻平台的企业直接协商，可以第一时间查看诉求办理进展情况，还可以对调解、协商情况进行评价反馈，为广大消费者提供了更加方便、快捷和透明的服务。</w:t>
      </w:r>
    </w:p>
    <w:p>
      <w:pPr>
        <w:numPr>
          <w:ilvl w:val="255"/>
          <w:numId w:val="0"/>
        </w:numPr>
        <w:spacing w:line="580" w:lineRule="exact"/>
        <w:ind w:firstLine="640" w:firstLineChars="20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t>在平台整合中，大力推进在线消费纠纷解决（简称ODR）机制建设，共引导</w:t>
      </w:r>
      <w:r>
        <w:rPr>
          <w:rFonts w:ascii="仿宋_GB2312" w:eastAsia="仿宋_GB2312"/>
          <w:bCs/>
          <w:sz w:val="32"/>
          <w:szCs w:val="32"/>
        </w:rPr>
        <w:t>14397</w:t>
      </w:r>
      <w:r>
        <w:rPr>
          <w:rFonts w:hint="eastAsia" w:ascii="仿宋_GB2312" w:eastAsia="仿宋_GB2312"/>
          <w:bCs/>
          <w:sz w:val="32"/>
          <w:szCs w:val="32"/>
        </w:rPr>
        <w:t>家企业入驻12315平台，与消费者直接协商解决纠纷</w:t>
      </w:r>
      <w:r>
        <w:rPr>
          <w:rFonts w:ascii="仿宋_GB2312" w:eastAsia="仿宋_GB2312"/>
          <w:bCs/>
          <w:sz w:val="32"/>
          <w:szCs w:val="32"/>
        </w:rPr>
        <w:t>25.56</w:t>
      </w:r>
      <w:r>
        <w:rPr>
          <w:rFonts w:hint="eastAsia" w:ascii="仿宋_GB2312" w:eastAsia="仿宋_GB2312"/>
          <w:bCs/>
          <w:sz w:val="32"/>
          <w:szCs w:val="32"/>
        </w:rPr>
        <w:t>万件。</w:t>
      </w:r>
    </w:p>
    <w:p>
      <w:pPr>
        <w:numPr>
          <w:ilvl w:val="255"/>
          <w:numId w:val="0"/>
        </w:numPr>
        <w:spacing w:line="580" w:lineRule="exact"/>
        <w:ind w:firstLine="640" w:firstLineChars="20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/>
          <w:bCs/>
          <w:sz w:val="32"/>
          <w:szCs w:val="32"/>
        </w:rPr>
        <w:t>截至2020年9月30日，全国12315平台访问量达8444.74</w:t>
      </w:r>
      <w:r>
        <w:rPr>
          <w:rFonts w:hint="eastAsia" w:ascii="仿宋_GB2312" w:eastAsia="仿宋_GB2312"/>
          <w:bCs/>
          <w:sz w:val="32"/>
          <w:szCs w:val="32"/>
        </w:rPr>
        <w:t>万</w:t>
      </w:r>
      <w:r>
        <w:rPr>
          <w:rFonts w:ascii="仿宋_GB2312" w:eastAsia="仿宋_GB2312"/>
          <w:bCs/>
          <w:sz w:val="32"/>
          <w:szCs w:val="32"/>
        </w:rPr>
        <w:t>人次，累计注册消费者达351万人</w:t>
      </w:r>
      <w:r>
        <w:rPr>
          <w:rFonts w:hint="eastAsia" w:ascii="仿宋_GB2312" w:eastAsia="仿宋_GB2312"/>
          <w:bCs/>
          <w:sz w:val="32"/>
          <w:szCs w:val="32"/>
        </w:rPr>
        <w:t>、市场监管办理人员</w:t>
      </w:r>
      <w:r>
        <w:rPr>
          <w:rFonts w:ascii="仿宋_GB2312" w:eastAsia="仿宋_GB2312"/>
          <w:bCs/>
          <w:sz w:val="32"/>
          <w:szCs w:val="32"/>
        </w:rPr>
        <w:t>8</w:t>
      </w:r>
      <w:r>
        <w:rPr>
          <w:rFonts w:hint="eastAsia" w:ascii="仿宋_GB2312" w:eastAsia="仿宋_GB2312"/>
          <w:bCs/>
          <w:sz w:val="32"/>
          <w:szCs w:val="32"/>
        </w:rPr>
        <w:t>.74万名（新增</w:t>
      </w:r>
      <w:r>
        <w:rPr>
          <w:rFonts w:ascii="仿宋_GB2312" w:eastAsia="仿宋_GB2312"/>
          <w:bCs/>
          <w:sz w:val="32"/>
          <w:szCs w:val="32"/>
        </w:rPr>
        <w:t>3</w:t>
      </w:r>
      <w:r>
        <w:rPr>
          <w:rFonts w:hint="eastAsia" w:ascii="仿宋_GB2312" w:eastAsia="仿宋_GB2312"/>
          <w:bCs/>
          <w:sz w:val="32"/>
          <w:szCs w:val="32"/>
        </w:rPr>
        <w:t>.86万</w:t>
      </w:r>
      <w:r>
        <w:rPr>
          <w:rFonts w:ascii="仿宋_GB2312" w:eastAsia="仿宋_GB2312"/>
          <w:bCs/>
          <w:sz w:val="32"/>
          <w:szCs w:val="32"/>
        </w:rPr>
        <w:t>名</w:t>
      </w:r>
      <w:r>
        <w:rPr>
          <w:rFonts w:hint="eastAsia" w:ascii="仿宋_GB2312" w:eastAsia="仿宋_GB2312"/>
          <w:bCs/>
          <w:sz w:val="32"/>
          <w:szCs w:val="32"/>
        </w:rPr>
        <w:t>），</w:t>
      </w:r>
      <w:r>
        <w:rPr>
          <w:rFonts w:ascii="仿宋_GB2312" w:eastAsia="仿宋_GB2312"/>
          <w:bCs/>
          <w:sz w:val="32"/>
          <w:szCs w:val="32"/>
        </w:rPr>
        <w:t>24</w:t>
      </w:r>
      <w:r>
        <w:rPr>
          <w:rFonts w:hint="eastAsia" w:ascii="仿宋_GB2312" w:eastAsia="仿宋_GB2312"/>
          <w:bCs/>
          <w:sz w:val="32"/>
          <w:szCs w:val="32"/>
        </w:rPr>
        <w:t>个</w:t>
      </w:r>
      <w:r>
        <w:rPr>
          <w:rFonts w:ascii="仿宋_GB2312" w:eastAsia="仿宋_GB2312"/>
          <w:bCs/>
          <w:sz w:val="32"/>
          <w:szCs w:val="32"/>
        </w:rPr>
        <w:t>省</w:t>
      </w:r>
      <w:r>
        <w:rPr>
          <w:rFonts w:hint="eastAsia" w:ascii="仿宋_GB2312" w:eastAsia="仿宋_GB2312"/>
          <w:bCs/>
          <w:sz w:val="32"/>
          <w:szCs w:val="32"/>
        </w:rPr>
        <w:t>区市</w:t>
      </w:r>
      <w:r>
        <w:rPr>
          <w:rFonts w:ascii="仿宋_GB2312" w:eastAsia="仿宋_GB2312"/>
          <w:bCs/>
          <w:sz w:val="32"/>
          <w:szCs w:val="32"/>
        </w:rPr>
        <w:t>的285个话务机构统一接入全国12315平台</w:t>
      </w:r>
      <w:r>
        <w:rPr>
          <w:rFonts w:hint="eastAsia" w:ascii="仿宋_GB2312" w:eastAsia="仿宋_GB2312"/>
          <w:bCs/>
          <w:sz w:val="32"/>
          <w:szCs w:val="32"/>
        </w:rPr>
        <w:t>。</w:t>
      </w:r>
    </w:p>
    <w:p>
      <w:pPr>
        <w:spacing w:line="580" w:lineRule="exact"/>
        <w:ind w:firstLine="1920" w:firstLineChars="600"/>
        <w:rPr>
          <w:rFonts w:ascii="黑体" w:hAnsi="黑体" w:eastAsia="黑体" w:cs="黑体"/>
          <w:bCs/>
          <w:sz w:val="32"/>
          <w:szCs w:val="32"/>
        </w:rPr>
      </w:pPr>
    </w:p>
    <w:p>
      <w:pPr>
        <w:spacing w:line="580" w:lineRule="exact"/>
        <w:ind w:firstLine="2240" w:firstLineChars="700"/>
        <w:rPr>
          <w:rFonts w:ascii="方正小标宋简体" w:hAnsi="方正小标宋简体" w:eastAsia="方正小标宋简体" w:cs="方正小标宋简体"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Cs/>
          <w:sz w:val="32"/>
          <w:szCs w:val="32"/>
        </w:rPr>
        <w:t>服务投诉、广告问题倒逼提质升级</w:t>
      </w:r>
    </w:p>
    <w:p>
      <w:pPr>
        <w:spacing w:line="580" w:lineRule="exact"/>
        <w:ind w:firstLine="640" w:firstLineChars="200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一是从投诉数量来看，服务类投诉增幅明显高于商品类投诉。</w:t>
      </w:r>
    </w:p>
    <w:p>
      <w:pPr>
        <w:spacing w:line="580" w:lineRule="exact"/>
        <w:ind w:firstLine="640" w:firstLineChars="20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t>前三季度</w:t>
      </w:r>
      <w:r>
        <w:rPr>
          <w:rFonts w:ascii="仿宋_GB2312" w:eastAsia="仿宋_GB2312"/>
          <w:bCs/>
          <w:sz w:val="32"/>
          <w:szCs w:val="32"/>
        </w:rPr>
        <w:t>，全国市场监管部门共</w:t>
      </w:r>
      <w:r>
        <w:rPr>
          <w:rFonts w:hint="eastAsia" w:ascii="仿宋_GB2312" w:eastAsia="仿宋_GB2312"/>
          <w:bCs/>
          <w:sz w:val="32"/>
          <w:szCs w:val="32"/>
        </w:rPr>
        <w:t>接收</w:t>
      </w:r>
      <w:r>
        <w:rPr>
          <w:rFonts w:ascii="仿宋_GB2312" w:eastAsia="仿宋_GB2312"/>
          <w:bCs/>
          <w:sz w:val="32"/>
          <w:szCs w:val="32"/>
        </w:rPr>
        <w:t>投诉339.97</w:t>
      </w:r>
      <w:r>
        <w:rPr>
          <w:rFonts w:hint="eastAsia" w:ascii="仿宋_GB2312" w:eastAsia="仿宋_GB2312"/>
          <w:bCs/>
          <w:sz w:val="32"/>
          <w:szCs w:val="32"/>
        </w:rPr>
        <w:t>万</w:t>
      </w:r>
      <w:r>
        <w:rPr>
          <w:rFonts w:ascii="仿宋_GB2312" w:eastAsia="仿宋_GB2312"/>
          <w:bCs/>
          <w:sz w:val="32"/>
          <w:szCs w:val="32"/>
        </w:rPr>
        <w:t>件，</w:t>
      </w:r>
      <w:r>
        <w:rPr>
          <w:rFonts w:hint="eastAsia" w:ascii="仿宋_GB2312" w:eastAsia="仿宋_GB2312"/>
          <w:bCs/>
          <w:sz w:val="32"/>
          <w:szCs w:val="32"/>
        </w:rPr>
        <w:t>经核查</w:t>
      </w:r>
      <w:r>
        <w:rPr>
          <w:rFonts w:ascii="仿宋_GB2312" w:eastAsia="仿宋_GB2312"/>
          <w:bCs/>
          <w:sz w:val="32"/>
          <w:szCs w:val="32"/>
        </w:rPr>
        <w:t>受理</w:t>
      </w:r>
      <w:r>
        <w:rPr>
          <w:rFonts w:hint="eastAsia" w:ascii="仿宋_GB2312" w:eastAsia="仿宋_GB2312"/>
          <w:bCs/>
          <w:sz w:val="32"/>
          <w:szCs w:val="32"/>
        </w:rPr>
        <w:t>2</w:t>
      </w:r>
      <w:r>
        <w:rPr>
          <w:rFonts w:ascii="仿宋_GB2312" w:eastAsia="仿宋_GB2312"/>
          <w:bCs/>
          <w:sz w:val="32"/>
          <w:szCs w:val="32"/>
        </w:rPr>
        <w:t>36.32</w:t>
      </w:r>
      <w:r>
        <w:rPr>
          <w:rFonts w:hint="eastAsia" w:ascii="仿宋_GB2312" w:eastAsia="仿宋_GB2312"/>
          <w:bCs/>
          <w:sz w:val="32"/>
          <w:szCs w:val="32"/>
        </w:rPr>
        <w:t>万件。其中，受理</w:t>
      </w:r>
      <w:r>
        <w:rPr>
          <w:rFonts w:ascii="仿宋_GB2312" w:eastAsia="仿宋_GB2312"/>
          <w:bCs/>
          <w:sz w:val="32"/>
          <w:szCs w:val="32"/>
        </w:rPr>
        <w:t>服务投诉95.17</w:t>
      </w:r>
      <w:r>
        <w:rPr>
          <w:rFonts w:hint="eastAsia" w:ascii="仿宋_GB2312" w:eastAsia="仿宋_GB2312"/>
          <w:bCs/>
          <w:sz w:val="32"/>
          <w:szCs w:val="32"/>
        </w:rPr>
        <w:t>万</w:t>
      </w:r>
      <w:r>
        <w:rPr>
          <w:rFonts w:ascii="仿宋_GB2312" w:eastAsia="仿宋_GB2312"/>
          <w:bCs/>
          <w:sz w:val="32"/>
          <w:szCs w:val="32"/>
        </w:rPr>
        <w:t>件，同比增长103.1%</w:t>
      </w:r>
      <w:r>
        <w:rPr>
          <w:rFonts w:hint="eastAsia" w:ascii="仿宋_GB2312" w:eastAsia="仿宋_GB2312"/>
          <w:bCs/>
          <w:sz w:val="32"/>
          <w:szCs w:val="32"/>
        </w:rPr>
        <w:t>，</w:t>
      </w:r>
      <w:r>
        <w:rPr>
          <w:rFonts w:ascii="仿宋_GB2312" w:eastAsia="仿宋_GB2312"/>
          <w:bCs/>
          <w:sz w:val="32"/>
          <w:szCs w:val="32"/>
        </w:rPr>
        <w:t>占</w:t>
      </w:r>
      <w:r>
        <w:rPr>
          <w:rFonts w:hint="eastAsia" w:ascii="仿宋_GB2312" w:eastAsia="仿宋_GB2312"/>
          <w:bCs/>
          <w:sz w:val="32"/>
          <w:szCs w:val="32"/>
        </w:rPr>
        <w:t>受理</w:t>
      </w:r>
      <w:r>
        <w:rPr>
          <w:rFonts w:ascii="仿宋_GB2312" w:eastAsia="仿宋_GB2312"/>
          <w:bCs/>
          <w:sz w:val="32"/>
          <w:szCs w:val="32"/>
        </w:rPr>
        <w:t>投诉总量的40.27%；</w:t>
      </w:r>
      <w:r>
        <w:rPr>
          <w:rFonts w:hint="eastAsia" w:ascii="仿宋_GB2312" w:eastAsia="仿宋_GB2312"/>
          <w:bCs/>
          <w:sz w:val="32"/>
          <w:szCs w:val="32"/>
        </w:rPr>
        <w:t>受理</w:t>
      </w:r>
      <w:r>
        <w:rPr>
          <w:rFonts w:ascii="仿宋_GB2312" w:eastAsia="仿宋_GB2312"/>
          <w:bCs/>
          <w:sz w:val="32"/>
          <w:szCs w:val="32"/>
        </w:rPr>
        <w:t>商品投诉141.15</w:t>
      </w:r>
      <w:r>
        <w:rPr>
          <w:rFonts w:hint="eastAsia" w:ascii="仿宋_GB2312" w:eastAsia="仿宋_GB2312"/>
          <w:bCs/>
          <w:sz w:val="32"/>
          <w:szCs w:val="32"/>
        </w:rPr>
        <w:t>万</w:t>
      </w:r>
      <w:r>
        <w:rPr>
          <w:rFonts w:ascii="仿宋_GB2312" w:eastAsia="仿宋_GB2312"/>
          <w:bCs/>
          <w:sz w:val="32"/>
          <w:szCs w:val="32"/>
        </w:rPr>
        <w:t>件，同比</w:t>
      </w:r>
      <w:r>
        <w:rPr>
          <w:rFonts w:hint="eastAsia" w:ascii="仿宋_GB2312" w:eastAsia="仿宋_GB2312"/>
          <w:bCs/>
          <w:sz w:val="32"/>
          <w:szCs w:val="32"/>
        </w:rPr>
        <w:t>增长</w:t>
      </w:r>
      <w:r>
        <w:rPr>
          <w:rFonts w:ascii="仿宋_GB2312" w:eastAsia="仿宋_GB2312"/>
          <w:bCs/>
          <w:sz w:val="32"/>
          <w:szCs w:val="32"/>
        </w:rPr>
        <w:t>26.92%，占</w:t>
      </w:r>
      <w:r>
        <w:rPr>
          <w:rFonts w:hint="eastAsia" w:ascii="仿宋_GB2312" w:eastAsia="仿宋_GB2312"/>
          <w:bCs/>
          <w:sz w:val="32"/>
          <w:szCs w:val="32"/>
        </w:rPr>
        <w:t>受理</w:t>
      </w:r>
      <w:r>
        <w:rPr>
          <w:rFonts w:ascii="仿宋_GB2312" w:eastAsia="仿宋_GB2312"/>
          <w:bCs/>
          <w:sz w:val="32"/>
          <w:szCs w:val="32"/>
        </w:rPr>
        <w:t>投诉总量的59.73%。</w:t>
      </w:r>
    </w:p>
    <w:p>
      <w:pPr>
        <w:spacing w:line="580" w:lineRule="exact"/>
        <w:ind w:firstLine="640" w:firstLineChars="20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t>服务投诉中，餐饮住宿服务（14.35万件）、销售服务（8.93万件）、文化娱乐体育服务（8.61万件）、教育培训服务（8</w:t>
      </w:r>
      <w:r>
        <w:rPr>
          <w:rFonts w:ascii="仿宋_GB2312" w:eastAsia="仿宋_GB2312"/>
          <w:bCs/>
          <w:sz w:val="32"/>
          <w:szCs w:val="32"/>
        </w:rPr>
        <w:t>.33</w:t>
      </w:r>
      <w:r>
        <w:rPr>
          <w:rFonts w:hint="eastAsia" w:ascii="仿宋_GB2312" w:eastAsia="仿宋_GB2312"/>
          <w:bCs/>
          <w:sz w:val="32"/>
          <w:szCs w:val="32"/>
        </w:rPr>
        <w:t>万件）和美容美发洗浴服务（7</w:t>
      </w:r>
      <w:r>
        <w:rPr>
          <w:rFonts w:ascii="仿宋_GB2312" w:eastAsia="仿宋_GB2312"/>
          <w:bCs/>
          <w:sz w:val="32"/>
          <w:szCs w:val="32"/>
        </w:rPr>
        <w:t>.01</w:t>
      </w:r>
      <w:r>
        <w:rPr>
          <w:rFonts w:hint="eastAsia" w:ascii="仿宋_GB2312" w:eastAsia="仿宋_GB2312"/>
          <w:bCs/>
          <w:sz w:val="32"/>
          <w:szCs w:val="32"/>
        </w:rPr>
        <w:t>万件）数量较多，分别占比15.08%、9.38%、9.05%、8</w:t>
      </w:r>
      <w:r>
        <w:rPr>
          <w:rFonts w:ascii="仿宋_GB2312" w:eastAsia="仿宋_GB2312"/>
          <w:bCs/>
          <w:sz w:val="32"/>
          <w:szCs w:val="32"/>
        </w:rPr>
        <w:t>.7</w:t>
      </w:r>
      <w:r>
        <w:rPr>
          <w:rFonts w:hint="eastAsia" w:ascii="仿宋_GB2312" w:eastAsia="仿宋_GB2312"/>
          <w:bCs/>
          <w:sz w:val="32"/>
          <w:szCs w:val="32"/>
        </w:rPr>
        <w:t>5%和7</w:t>
      </w:r>
      <w:r>
        <w:rPr>
          <w:rFonts w:ascii="仿宋_GB2312" w:eastAsia="仿宋_GB2312"/>
          <w:bCs/>
          <w:sz w:val="32"/>
          <w:szCs w:val="32"/>
        </w:rPr>
        <w:t>.37</w:t>
      </w:r>
      <w:r>
        <w:rPr>
          <w:rFonts w:hint="eastAsia" w:ascii="仿宋_GB2312" w:eastAsia="仿宋_GB2312"/>
          <w:bCs/>
          <w:sz w:val="32"/>
          <w:szCs w:val="32"/>
        </w:rPr>
        <w:t>%，同比增长</w:t>
      </w:r>
      <w:r>
        <w:rPr>
          <w:rFonts w:ascii="仿宋_GB2312" w:eastAsia="仿宋_GB2312"/>
          <w:bCs/>
          <w:sz w:val="32"/>
          <w:szCs w:val="32"/>
        </w:rPr>
        <w:t>85.28</w:t>
      </w:r>
      <w:r>
        <w:rPr>
          <w:rFonts w:hint="eastAsia" w:ascii="仿宋_GB2312" w:eastAsia="仿宋_GB2312"/>
          <w:bCs/>
          <w:sz w:val="32"/>
          <w:szCs w:val="32"/>
        </w:rPr>
        <w:t>%、</w:t>
      </w:r>
      <w:r>
        <w:rPr>
          <w:rFonts w:ascii="仿宋_GB2312" w:eastAsia="仿宋_GB2312"/>
          <w:bCs/>
          <w:sz w:val="32"/>
          <w:szCs w:val="32"/>
        </w:rPr>
        <w:t>89.92</w:t>
      </w:r>
      <w:r>
        <w:rPr>
          <w:rFonts w:hint="eastAsia" w:ascii="仿宋_GB2312" w:eastAsia="仿宋_GB2312"/>
          <w:bCs/>
          <w:sz w:val="32"/>
          <w:szCs w:val="32"/>
        </w:rPr>
        <w:t>%、</w:t>
      </w:r>
      <w:r>
        <w:rPr>
          <w:rFonts w:ascii="仿宋_GB2312" w:eastAsia="仿宋_GB2312"/>
          <w:bCs/>
          <w:sz w:val="32"/>
          <w:szCs w:val="32"/>
        </w:rPr>
        <w:t>69.53</w:t>
      </w:r>
      <w:r>
        <w:rPr>
          <w:rFonts w:hint="eastAsia" w:ascii="仿宋_GB2312" w:eastAsia="仿宋_GB2312"/>
          <w:bCs/>
          <w:sz w:val="32"/>
          <w:szCs w:val="32"/>
        </w:rPr>
        <w:t>%、</w:t>
      </w:r>
      <w:r>
        <w:rPr>
          <w:rFonts w:ascii="仿宋_GB2312" w:eastAsia="仿宋_GB2312"/>
          <w:bCs/>
          <w:sz w:val="32"/>
          <w:szCs w:val="32"/>
        </w:rPr>
        <w:t>218.10</w:t>
      </w:r>
      <w:r>
        <w:rPr>
          <w:rFonts w:hint="eastAsia" w:ascii="仿宋_GB2312" w:eastAsia="仿宋_GB2312"/>
          <w:bCs/>
          <w:sz w:val="32"/>
          <w:szCs w:val="32"/>
        </w:rPr>
        <w:t>%和</w:t>
      </w:r>
      <w:r>
        <w:rPr>
          <w:rFonts w:ascii="仿宋_GB2312" w:eastAsia="仿宋_GB2312"/>
          <w:bCs/>
          <w:sz w:val="32"/>
          <w:szCs w:val="32"/>
        </w:rPr>
        <w:t>136.58</w:t>
      </w:r>
      <w:r>
        <w:rPr>
          <w:rFonts w:hint="eastAsia" w:ascii="仿宋_GB2312" w:eastAsia="仿宋_GB2312"/>
          <w:bCs/>
          <w:sz w:val="32"/>
          <w:szCs w:val="32"/>
        </w:rPr>
        <w:t>%。</w:t>
      </w:r>
    </w:p>
    <w:p>
      <w:pPr>
        <w:jc w:val="both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drawing>
          <wp:inline distT="0" distB="0" distL="114300" distR="114300">
            <wp:extent cx="5953125" cy="2891790"/>
            <wp:effectExtent l="0" t="0" r="9525" b="0"/>
            <wp:docPr id="9" name="图片 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t>商品投诉中，一般食品（</w:t>
      </w:r>
      <w:r>
        <w:rPr>
          <w:rFonts w:ascii="仿宋_GB2312" w:eastAsia="仿宋_GB2312"/>
          <w:bCs/>
          <w:sz w:val="32"/>
          <w:szCs w:val="32"/>
        </w:rPr>
        <w:t>26.57</w:t>
      </w:r>
      <w:r>
        <w:rPr>
          <w:rFonts w:hint="eastAsia" w:ascii="仿宋_GB2312" w:eastAsia="仿宋_GB2312"/>
          <w:bCs/>
          <w:sz w:val="32"/>
          <w:szCs w:val="32"/>
        </w:rPr>
        <w:t>万件）、服装鞋帽（</w:t>
      </w:r>
      <w:r>
        <w:rPr>
          <w:rFonts w:ascii="仿宋_GB2312" w:eastAsia="仿宋_GB2312"/>
          <w:bCs/>
          <w:sz w:val="32"/>
          <w:szCs w:val="32"/>
        </w:rPr>
        <w:t>13.56</w:t>
      </w:r>
      <w:r>
        <w:rPr>
          <w:rFonts w:hint="eastAsia" w:ascii="仿宋_GB2312" w:eastAsia="仿宋_GB2312"/>
          <w:bCs/>
          <w:sz w:val="32"/>
          <w:szCs w:val="32"/>
        </w:rPr>
        <w:t>万件）家居用品（</w:t>
      </w:r>
      <w:r>
        <w:rPr>
          <w:rFonts w:ascii="仿宋_GB2312" w:eastAsia="仿宋_GB2312"/>
          <w:bCs/>
          <w:sz w:val="32"/>
          <w:szCs w:val="32"/>
        </w:rPr>
        <w:t>12.27</w:t>
      </w:r>
      <w:r>
        <w:rPr>
          <w:rFonts w:hint="eastAsia" w:ascii="仿宋_GB2312" w:eastAsia="仿宋_GB2312"/>
          <w:bCs/>
          <w:sz w:val="32"/>
          <w:szCs w:val="32"/>
        </w:rPr>
        <w:t>万件）、交通工具（1</w:t>
      </w:r>
      <w:r>
        <w:rPr>
          <w:rFonts w:ascii="仿宋_GB2312" w:eastAsia="仿宋_GB2312"/>
          <w:bCs/>
          <w:sz w:val="32"/>
          <w:szCs w:val="32"/>
        </w:rPr>
        <w:t>2.07</w:t>
      </w:r>
      <w:r>
        <w:rPr>
          <w:rFonts w:hint="eastAsia" w:ascii="仿宋_GB2312" w:eastAsia="仿宋_GB2312"/>
          <w:bCs/>
          <w:sz w:val="32"/>
          <w:szCs w:val="32"/>
        </w:rPr>
        <w:t>万件）和家用电器（9</w:t>
      </w:r>
      <w:r>
        <w:rPr>
          <w:rFonts w:ascii="仿宋_GB2312" w:eastAsia="仿宋_GB2312"/>
          <w:bCs/>
          <w:sz w:val="32"/>
          <w:szCs w:val="32"/>
        </w:rPr>
        <w:t>.85</w:t>
      </w:r>
      <w:r>
        <w:rPr>
          <w:rFonts w:hint="eastAsia" w:ascii="仿宋_GB2312" w:eastAsia="仿宋_GB2312"/>
          <w:bCs/>
          <w:sz w:val="32"/>
          <w:szCs w:val="32"/>
        </w:rPr>
        <w:t>万件）数量较多，分别占比</w:t>
      </w:r>
      <w:r>
        <w:rPr>
          <w:rFonts w:ascii="仿宋_GB2312" w:eastAsia="仿宋_GB2312"/>
          <w:bCs/>
          <w:sz w:val="32"/>
          <w:szCs w:val="32"/>
        </w:rPr>
        <w:t>18.82%</w:t>
      </w:r>
      <w:r>
        <w:rPr>
          <w:rFonts w:hint="eastAsia" w:ascii="仿宋_GB2312" w:eastAsia="仿宋_GB2312"/>
          <w:bCs/>
          <w:sz w:val="32"/>
          <w:szCs w:val="32"/>
        </w:rPr>
        <w:t>、</w:t>
      </w:r>
      <w:r>
        <w:rPr>
          <w:rFonts w:ascii="仿宋_GB2312" w:eastAsia="仿宋_GB2312"/>
          <w:bCs/>
          <w:sz w:val="32"/>
          <w:szCs w:val="32"/>
        </w:rPr>
        <w:t>9.61%</w:t>
      </w:r>
      <w:r>
        <w:rPr>
          <w:rFonts w:hint="eastAsia" w:ascii="仿宋_GB2312" w:eastAsia="仿宋_GB2312"/>
          <w:bCs/>
          <w:sz w:val="32"/>
          <w:szCs w:val="32"/>
        </w:rPr>
        <w:t>、</w:t>
      </w:r>
      <w:r>
        <w:rPr>
          <w:rFonts w:ascii="仿宋_GB2312" w:eastAsia="仿宋_GB2312"/>
          <w:bCs/>
          <w:sz w:val="32"/>
          <w:szCs w:val="32"/>
        </w:rPr>
        <w:t>8.69%</w:t>
      </w:r>
      <w:r>
        <w:rPr>
          <w:rFonts w:hint="eastAsia" w:ascii="仿宋_GB2312" w:eastAsia="仿宋_GB2312"/>
          <w:bCs/>
          <w:sz w:val="32"/>
          <w:szCs w:val="32"/>
        </w:rPr>
        <w:t>、8</w:t>
      </w:r>
      <w:r>
        <w:rPr>
          <w:rFonts w:ascii="仿宋_GB2312" w:eastAsia="仿宋_GB2312"/>
          <w:bCs/>
          <w:sz w:val="32"/>
          <w:szCs w:val="32"/>
        </w:rPr>
        <w:t>.55</w:t>
      </w:r>
      <w:r>
        <w:rPr>
          <w:rFonts w:hint="eastAsia" w:ascii="仿宋_GB2312" w:eastAsia="仿宋_GB2312"/>
          <w:bCs/>
          <w:sz w:val="32"/>
          <w:szCs w:val="32"/>
        </w:rPr>
        <w:t>%和6</w:t>
      </w:r>
      <w:r>
        <w:rPr>
          <w:rFonts w:ascii="仿宋_GB2312" w:eastAsia="仿宋_GB2312"/>
          <w:bCs/>
          <w:sz w:val="32"/>
          <w:szCs w:val="32"/>
        </w:rPr>
        <w:t>.98</w:t>
      </w:r>
      <w:r>
        <w:rPr>
          <w:rFonts w:hint="eastAsia" w:ascii="仿宋_GB2312" w:eastAsia="仿宋_GB2312"/>
          <w:bCs/>
          <w:sz w:val="32"/>
          <w:szCs w:val="32"/>
        </w:rPr>
        <w:t>%，同比增长1</w:t>
      </w:r>
      <w:r>
        <w:rPr>
          <w:rFonts w:ascii="仿宋_GB2312" w:eastAsia="仿宋_GB2312"/>
          <w:bCs/>
          <w:sz w:val="32"/>
          <w:szCs w:val="32"/>
        </w:rPr>
        <w:t>4.97</w:t>
      </w:r>
      <w:r>
        <w:rPr>
          <w:rFonts w:hint="eastAsia" w:ascii="仿宋_GB2312" w:eastAsia="仿宋_GB2312"/>
          <w:bCs/>
          <w:sz w:val="32"/>
          <w:szCs w:val="32"/>
        </w:rPr>
        <w:t>%、3</w:t>
      </w:r>
      <w:r>
        <w:rPr>
          <w:rFonts w:ascii="仿宋_GB2312" w:eastAsia="仿宋_GB2312"/>
          <w:bCs/>
          <w:sz w:val="32"/>
          <w:szCs w:val="32"/>
        </w:rPr>
        <w:t>.61</w:t>
      </w:r>
      <w:r>
        <w:rPr>
          <w:rFonts w:hint="eastAsia" w:ascii="仿宋_GB2312" w:eastAsia="仿宋_GB2312"/>
          <w:bCs/>
          <w:sz w:val="32"/>
          <w:szCs w:val="32"/>
        </w:rPr>
        <w:t>%、-3</w:t>
      </w:r>
      <w:r>
        <w:rPr>
          <w:rFonts w:ascii="仿宋_GB2312" w:eastAsia="仿宋_GB2312"/>
          <w:bCs/>
          <w:sz w:val="32"/>
          <w:szCs w:val="32"/>
        </w:rPr>
        <w:t>8.16</w:t>
      </w:r>
      <w:r>
        <w:rPr>
          <w:rFonts w:hint="eastAsia" w:ascii="仿宋_GB2312" w:eastAsia="仿宋_GB2312"/>
          <w:bCs/>
          <w:sz w:val="32"/>
          <w:szCs w:val="32"/>
        </w:rPr>
        <w:t>%、3</w:t>
      </w:r>
      <w:r>
        <w:rPr>
          <w:rFonts w:ascii="仿宋_GB2312" w:eastAsia="仿宋_GB2312"/>
          <w:bCs/>
          <w:sz w:val="32"/>
          <w:szCs w:val="32"/>
        </w:rPr>
        <w:t>1.56</w:t>
      </w:r>
      <w:r>
        <w:rPr>
          <w:rFonts w:hint="eastAsia" w:ascii="仿宋_GB2312" w:eastAsia="仿宋_GB2312"/>
          <w:bCs/>
          <w:sz w:val="32"/>
          <w:szCs w:val="32"/>
        </w:rPr>
        <w:t>%和6</w:t>
      </w:r>
      <w:r>
        <w:rPr>
          <w:rFonts w:ascii="仿宋_GB2312" w:eastAsia="仿宋_GB2312"/>
          <w:bCs/>
          <w:sz w:val="32"/>
          <w:szCs w:val="32"/>
        </w:rPr>
        <w:t>1.72</w:t>
      </w:r>
      <w:r>
        <w:rPr>
          <w:rFonts w:hint="eastAsia" w:ascii="仿宋_GB2312" w:eastAsia="仿宋_GB2312"/>
          <w:bCs/>
          <w:sz w:val="32"/>
          <w:szCs w:val="32"/>
        </w:rPr>
        <w:t>%。</w:t>
      </w:r>
    </w:p>
    <w:p>
      <w:pPr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drawing>
          <wp:inline distT="0" distB="0" distL="114300" distR="114300">
            <wp:extent cx="5966460" cy="3180715"/>
            <wp:effectExtent l="0" t="0" r="15240" b="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t>从数据分析，可以发现两个特点：</w:t>
      </w:r>
    </w:p>
    <w:p>
      <w:pPr>
        <w:spacing w:line="580" w:lineRule="exact"/>
        <w:ind w:firstLine="640" w:firstLineChars="200"/>
        <w:jc w:val="both"/>
        <w:rPr>
          <w:rFonts w:ascii="楷体" w:hAnsi="楷体" w:eastAsia="楷体" w:cs="楷体"/>
          <w:b/>
          <w:sz w:val="32"/>
          <w:szCs w:val="32"/>
        </w:rPr>
      </w:pPr>
      <w:r>
        <w:rPr>
          <w:rFonts w:hint="eastAsia" w:ascii="楷体" w:hAnsi="楷体" w:eastAsia="楷体" w:cs="楷体"/>
          <w:bCs/>
          <w:sz w:val="32"/>
          <w:szCs w:val="32"/>
        </w:rPr>
        <w:t>（一）数据变化一定程度上与新冠肺炎疫情影响相关联。</w:t>
      </w:r>
    </w:p>
    <w:p>
      <w:pPr>
        <w:spacing w:line="580" w:lineRule="exact"/>
        <w:ind w:firstLine="640" w:firstLineChars="20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t>一方面，受疫情影响，餐饮和住宿服务退订率较高；部分文化娱乐体育服务和美容美发洗浴服务行业处于关停状态，投诉量呈上升态势。</w:t>
      </w:r>
    </w:p>
    <w:p>
      <w:pPr>
        <w:spacing w:line="580" w:lineRule="exact"/>
        <w:ind w:firstLine="640" w:firstLineChars="20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t>另一方面，疫情前期，家用电器和服装鞋帽类消费相对减少；消费者在居家隔离期间通过互联网购买商品需求增加，其中购买食品相对较多，网络购物投诉增幅较大。</w:t>
      </w:r>
    </w:p>
    <w:p>
      <w:pPr>
        <w:spacing w:line="580" w:lineRule="exact"/>
        <w:ind w:firstLine="640" w:firstLineChars="200"/>
        <w:jc w:val="both"/>
        <w:rPr>
          <w:rFonts w:ascii="楷体" w:hAnsi="楷体" w:eastAsia="楷体" w:cs="楷体"/>
          <w:bCs/>
          <w:sz w:val="32"/>
          <w:szCs w:val="32"/>
        </w:rPr>
      </w:pPr>
      <w:r>
        <w:rPr>
          <w:rFonts w:hint="eastAsia" w:ascii="楷体" w:hAnsi="楷体" w:eastAsia="楷体" w:cs="楷体"/>
          <w:bCs/>
          <w:sz w:val="32"/>
          <w:szCs w:val="32"/>
        </w:rPr>
        <w:t>（二）服务类投诉上升一定程度上说明消费者对服务品质的要求不断提高。</w:t>
      </w:r>
    </w:p>
    <w:p>
      <w:pPr>
        <w:spacing w:line="580" w:lineRule="exact"/>
        <w:ind w:firstLine="640" w:firstLineChars="20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t>消费者“操心事烦心事揪心事”从具体商品到接受服务的迁移，提醒相关经营主体既要围绕商品质量继续下“硬功夫”，又要关注服务品质不断提升“软实力”。</w:t>
      </w:r>
    </w:p>
    <w:p>
      <w:pPr>
        <w:numPr>
          <w:ilvl w:val="255"/>
          <w:numId w:val="0"/>
        </w:numPr>
        <w:spacing w:line="580" w:lineRule="exact"/>
        <w:ind w:firstLine="640" w:firstLineChars="200"/>
        <w:jc w:val="both"/>
        <w:rPr>
          <w:rFonts w:ascii="仿宋_GB2312" w:eastAsia="仿宋_GB2312"/>
          <w:b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二是从投诉举报内容属性分析，广告问题排名居首</w:t>
      </w:r>
    </w:p>
    <w:p>
      <w:pPr>
        <w:spacing w:line="580" w:lineRule="exact"/>
        <w:ind w:firstLine="640" w:firstLineChars="20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t>从前三季度投诉举报涉及问题排名情况看，广告问题（</w:t>
      </w:r>
      <w:r>
        <w:rPr>
          <w:rFonts w:ascii="仿宋_GB2312" w:eastAsia="仿宋_GB2312"/>
          <w:bCs/>
          <w:sz w:val="32"/>
          <w:szCs w:val="32"/>
        </w:rPr>
        <w:t>152.38</w:t>
      </w:r>
      <w:r>
        <w:rPr>
          <w:rFonts w:hint="eastAsia" w:ascii="仿宋_GB2312" w:eastAsia="仿宋_GB2312"/>
          <w:bCs/>
          <w:sz w:val="32"/>
          <w:szCs w:val="32"/>
        </w:rPr>
        <w:t>万件），</w:t>
      </w:r>
      <w:r>
        <w:rPr>
          <w:rFonts w:ascii="仿宋_GB2312" w:eastAsia="仿宋_GB2312"/>
          <w:bCs/>
          <w:sz w:val="32"/>
          <w:szCs w:val="32"/>
        </w:rPr>
        <w:t>在投诉举报问题性质分类中</w:t>
      </w:r>
      <w:r>
        <w:rPr>
          <w:rFonts w:hint="eastAsia" w:ascii="仿宋_GB2312" w:eastAsia="仿宋_GB2312"/>
          <w:bCs/>
          <w:sz w:val="32"/>
          <w:szCs w:val="32"/>
        </w:rPr>
        <w:t>排名居首。</w:t>
      </w:r>
    </w:p>
    <w:p>
      <w:pPr>
        <w:spacing w:line="580" w:lineRule="exact"/>
        <w:ind w:firstLine="640" w:firstLineChars="20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/>
          <w:bCs/>
          <w:sz w:val="32"/>
          <w:szCs w:val="32"/>
        </w:rPr>
        <w:t>此外，</w:t>
      </w:r>
      <w:r>
        <w:rPr>
          <w:rFonts w:hint="eastAsia" w:ascii="仿宋_GB2312" w:eastAsia="仿宋_GB2312"/>
          <w:bCs/>
          <w:sz w:val="32"/>
          <w:szCs w:val="32"/>
        </w:rPr>
        <w:t>假冒伪劣（</w:t>
      </w:r>
      <w:r>
        <w:rPr>
          <w:rFonts w:ascii="仿宋_GB2312" w:eastAsia="仿宋_GB2312"/>
          <w:bCs/>
          <w:sz w:val="32"/>
          <w:szCs w:val="32"/>
        </w:rPr>
        <w:t>74.76</w:t>
      </w:r>
      <w:r>
        <w:rPr>
          <w:rFonts w:hint="eastAsia" w:ascii="仿宋_GB2312" w:eastAsia="仿宋_GB2312"/>
          <w:bCs/>
          <w:sz w:val="32"/>
          <w:szCs w:val="32"/>
        </w:rPr>
        <w:t>万件）、售后服务（</w:t>
      </w:r>
      <w:r>
        <w:rPr>
          <w:rFonts w:ascii="仿宋_GB2312" w:eastAsia="仿宋_GB2312"/>
          <w:bCs/>
          <w:sz w:val="32"/>
          <w:szCs w:val="32"/>
        </w:rPr>
        <w:t>67.26</w:t>
      </w:r>
      <w:r>
        <w:rPr>
          <w:rFonts w:hint="eastAsia" w:ascii="仿宋_GB2312" w:eastAsia="仿宋_GB2312"/>
          <w:bCs/>
          <w:sz w:val="32"/>
          <w:szCs w:val="32"/>
        </w:rPr>
        <w:t>万件）排名不变；而虚假宣传（2</w:t>
      </w:r>
      <w:r>
        <w:rPr>
          <w:rFonts w:ascii="仿宋_GB2312" w:eastAsia="仿宋_GB2312"/>
          <w:bCs/>
          <w:sz w:val="32"/>
          <w:szCs w:val="32"/>
        </w:rPr>
        <w:t>0.66</w:t>
      </w:r>
      <w:r>
        <w:rPr>
          <w:rFonts w:hint="eastAsia" w:ascii="仿宋_GB2312" w:eastAsia="仿宋_GB2312"/>
          <w:bCs/>
          <w:sz w:val="32"/>
          <w:szCs w:val="32"/>
        </w:rPr>
        <w:t>万件）、侵害消费者权益（</w:t>
      </w:r>
      <w:r>
        <w:rPr>
          <w:rFonts w:ascii="仿宋_GB2312" w:eastAsia="仿宋_GB2312"/>
          <w:bCs/>
          <w:sz w:val="32"/>
          <w:szCs w:val="32"/>
        </w:rPr>
        <w:t>14.97</w:t>
      </w:r>
      <w:r>
        <w:rPr>
          <w:rFonts w:hint="eastAsia" w:ascii="仿宋_GB2312" w:eastAsia="仿宋_GB2312"/>
          <w:bCs/>
          <w:sz w:val="32"/>
          <w:szCs w:val="32"/>
        </w:rPr>
        <w:t>万件）、人身权利（8</w:t>
      </w:r>
      <w:r>
        <w:rPr>
          <w:rFonts w:ascii="仿宋_GB2312" w:eastAsia="仿宋_GB2312"/>
          <w:bCs/>
          <w:sz w:val="32"/>
          <w:szCs w:val="32"/>
        </w:rPr>
        <w:t>.45</w:t>
      </w:r>
      <w:r>
        <w:rPr>
          <w:rFonts w:hint="eastAsia" w:ascii="仿宋_GB2312" w:eastAsia="仿宋_GB2312"/>
          <w:bCs/>
          <w:sz w:val="32"/>
          <w:szCs w:val="32"/>
        </w:rPr>
        <w:t>万件）、安全问题（7</w:t>
      </w:r>
      <w:r>
        <w:rPr>
          <w:rFonts w:ascii="仿宋_GB2312" w:eastAsia="仿宋_GB2312"/>
          <w:bCs/>
          <w:sz w:val="32"/>
          <w:szCs w:val="32"/>
        </w:rPr>
        <w:t>.4</w:t>
      </w:r>
      <w:r>
        <w:rPr>
          <w:rFonts w:hint="eastAsia" w:ascii="仿宋_GB2312" w:eastAsia="仿宋_GB2312"/>
          <w:bCs/>
          <w:sz w:val="32"/>
          <w:szCs w:val="32"/>
        </w:rPr>
        <w:t>万件）排名位次分别较去年有不同程度下降；涉及商标问题（4024件）同比降幅较大，达39.5%。</w:t>
      </w:r>
    </w:p>
    <w:p>
      <w:pPr>
        <w:jc w:val="center"/>
        <w:rPr>
          <w:rFonts w:ascii="黑体" w:hAnsi="黑体" w:eastAsia="黑体" w:cs="黑体"/>
          <w:sz w:val="32"/>
          <w:szCs w:val="32"/>
        </w:rPr>
      </w:pPr>
    </w:p>
    <w:p>
      <w:pPr>
        <w:jc w:val="center"/>
        <w:rPr>
          <w:rFonts w:ascii="黑体" w:hAnsi="黑体" w:eastAsia="黑体" w:cs="黑体"/>
          <w:sz w:val="32"/>
          <w:szCs w:val="32"/>
        </w:rPr>
      </w:pPr>
    </w:p>
    <w:p>
      <w:pPr>
        <w:jc w:val="center"/>
        <w:rPr>
          <w:rFonts w:ascii="黑体" w:hAnsi="黑体" w:eastAsia="黑体" w:cs="黑体"/>
          <w:sz w:val="32"/>
          <w:szCs w:val="32"/>
        </w:rPr>
      </w:pPr>
    </w:p>
    <w:p>
      <w:pPr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2020年前三季度投诉举报Top10问题</w:t>
      </w:r>
    </w:p>
    <w:tbl>
      <w:tblPr>
        <w:tblStyle w:val="21"/>
        <w:tblW w:w="7650" w:type="dxa"/>
        <w:jc w:val="center"/>
        <w:tblBorders>
          <w:top w:val="single" w:color="9CC2E5" w:themeColor="accent1" w:themeTint="99" w:sz="4" w:space="0"/>
          <w:left w:val="single" w:color="9CC2E5" w:themeColor="accent1" w:themeTint="99" w:sz="4" w:space="0"/>
          <w:bottom w:val="single" w:color="9CC2E5" w:themeColor="accent1" w:themeTint="99" w:sz="4" w:space="0"/>
          <w:right w:val="single" w:color="9CC2E5" w:themeColor="accent1" w:themeTint="99" w:sz="4" w:space="0"/>
          <w:insideH w:val="single" w:color="9CC2E5" w:themeColor="accent1" w:themeTint="99" w:sz="4" w:space="0"/>
          <w:insideV w:val="single" w:color="9CC2E5" w:themeColor="accent1" w:themeTint="99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6"/>
        <w:gridCol w:w="3052"/>
        <w:gridCol w:w="3402"/>
      </w:tblGrid>
      <w:tr>
        <w:tblPrEx>
          <w:tblBorders>
            <w:top w:val="single" w:color="9CC2E5" w:themeColor="accent1" w:themeTint="99" w:sz="4" w:space="0"/>
            <w:left w:val="single" w:color="9CC2E5" w:themeColor="accent1" w:themeTint="99" w:sz="4" w:space="0"/>
            <w:bottom w:val="single" w:color="9CC2E5" w:themeColor="accent1" w:themeTint="99" w:sz="4" w:space="0"/>
            <w:right w:val="single" w:color="9CC2E5" w:themeColor="accent1" w:themeTint="99" w:sz="4" w:space="0"/>
            <w:insideH w:val="single" w:color="9CC2E5" w:themeColor="accent1" w:themeTint="99" w:sz="4" w:space="0"/>
            <w:insideV w:val="single" w:color="9CC2E5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9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nil"/>
              <w:insideH w:val="single" w:sz="4" w:space="0"/>
              <w:insideV w:val="nil"/>
            </w:tcBorders>
            <w:shd w:val="clear" w:color="auto" w:fill="00B0F0"/>
          </w:tcPr>
          <w:p>
            <w:pPr>
              <w:spacing w:line="360" w:lineRule="exact"/>
              <w:jc w:val="center"/>
              <w:textAlignment w:val="center"/>
              <w:rPr>
                <w:rFonts w:asciiTheme="minorEastAsia" w:hAnsiTheme="minorEastAsia" w:eastAsiaTheme="minorEastAsia" w:cstheme="minorEastAsia"/>
                <w:b w:val="0"/>
                <w:bCs w:val="0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>排名</w:t>
            </w:r>
          </w:p>
        </w:tc>
        <w:tc>
          <w:tcPr>
            <w:tcW w:w="3052" w:type="dxa"/>
            <w:tcBorders>
              <w:top w:val="single" w:color="5B9BD5" w:themeColor="accent1" w:sz="4" w:space="0"/>
              <w:bottom w:val="single" w:color="5B9BD5" w:themeColor="accent1" w:sz="4" w:space="0"/>
              <w:right w:val="nil"/>
              <w:insideH w:val="single" w:sz="4" w:space="0"/>
              <w:insideV w:val="nil"/>
            </w:tcBorders>
            <w:shd w:val="clear" w:color="auto" w:fill="00B0F0"/>
          </w:tcPr>
          <w:p>
            <w:pPr>
              <w:spacing w:line="360" w:lineRule="exact"/>
              <w:jc w:val="center"/>
              <w:textAlignment w:val="center"/>
              <w:rPr>
                <w:rFonts w:asciiTheme="minorEastAsia" w:hAnsiTheme="minorEastAsia" w:eastAsiaTheme="minorEastAsia" w:cstheme="minorEastAsia"/>
                <w:b w:val="0"/>
                <w:bCs w:val="0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>问题</w:t>
            </w:r>
          </w:p>
        </w:tc>
        <w:tc>
          <w:tcPr>
            <w:tcW w:w="3402" w:type="dxa"/>
            <w:tcBorders>
              <w:top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  <w:insideH w:val="single" w:sz="4" w:space="0"/>
              <w:insideV w:val="nil"/>
            </w:tcBorders>
            <w:shd w:val="clear" w:color="auto" w:fill="00B0F0"/>
          </w:tcPr>
          <w:p>
            <w:pPr>
              <w:spacing w:line="360" w:lineRule="exact"/>
              <w:jc w:val="center"/>
              <w:textAlignment w:val="center"/>
              <w:rPr>
                <w:rFonts w:asciiTheme="minorEastAsia" w:hAnsiTheme="minorEastAsia" w:eastAsiaTheme="minorEastAsia" w:cstheme="minorEastAsia"/>
                <w:b w:val="0"/>
                <w:bCs w:val="0"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lang w:bidi="ar"/>
                <w14:textFill>
                  <w14:solidFill>
                    <w14:schemeClr w14:val="tx1"/>
                  </w14:solidFill>
                </w14:textFill>
              </w:rPr>
              <w:t>投诉举报量</w:t>
            </w:r>
          </w:p>
        </w:tc>
      </w:tr>
      <w:tr>
        <w:tblPrEx>
          <w:tblBorders>
            <w:top w:val="single" w:color="9CC2E5" w:themeColor="accent1" w:themeTint="99" w:sz="4" w:space="0"/>
            <w:left w:val="single" w:color="9CC2E5" w:themeColor="accent1" w:themeTint="99" w:sz="4" w:space="0"/>
            <w:bottom w:val="single" w:color="9CC2E5" w:themeColor="accent1" w:themeTint="99" w:sz="4" w:space="0"/>
            <w:right w:val="single" w:color="9CC2E5" w:themeColor="accent1" w:themeTint="99" w:sz="4" w:space="0"/>
            <w:insideH w:val="single" w:color="9CC2E5" w:themeColor="accent1" w:themeTint="99" w:sz="4" w:space="0"/>
            <w:insideV w:val="single" w:color="9CC2E5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96" w:type="dxa"/>
            <w:shd w:val="clear" w:color="auto" w:fill="DEEAF6" w:themeFill="accent1" w:themeFillTint="33"/>
          </w:tcPr>
          <w:p>
            <w:pPr>
              <w:spacing w:line="360" w:lineRule="exact"/>
              <w:jc w:val="center"/>
              <w:textAlignment w:val="center"/>
              <w:rPr>
                <w:rFonts w:ascii="仿宋" w:hAnsi="仿宋" w:eastAsia="仿宋" w:cstheme="minorEastAsia"/>
                <w:b/>
                <w:bCs/>
                <w:color w:val="000000" w:themeColor="text1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theme="minorEastAsia"/>
                <w:b/>
                <w:bCs/>
                <w:color w:val="000000" w:themeColor="text1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052" w:type="dxa"/>
            <w:shd w:val="clear" w:color="auto" w:fill="DEEAF6" w:themeFill="accent1" w:themeFillTint="33"/>
          </w:tcPr>
          <w:p>
            <w:pPr>
              <w:spacing w:line="360" w:lineRule="exact"/>
              <w:textAlignment w:val="center"/>
              <w:rPr>
                <w:rFonts w:ascii="仿宋" w:hAnsi="仿宋" w:eastAsia="仿宋" w:cstheme="minorEastAsia"/>
                <w:color w:val="000000" w:themeColor="text1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广告问题</w:t>
            </w:r>
          </w:p>
        </w:tc>
        <w:tc>
          <w:tcPr>
            <w:tcW w:w="3402" w:type="dxa"/>
            <w:shd w:val="clear" w:color="auto" w:fill="DEEAF6" w:themeFill="accent1" w:themeFillTint="33"/>
          </w:tcPr>
          <w:p>
            <w:pPr>
              <w:spacing w:line="360" w:lineRule="exact"/>
              <w:jc w:val="center"/>
              <w:textAlignment w:val="center"/>
              <w:rPr>
                <w:rFonts w:ascii="仿宋" w:hAnsi="仿宋" w:eastAsia="仿宋" w:cstheme="minorEastAsia"/>
                <w:color w:val="000000" w:themeColor="text1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1523863</w:t>
            </w:r>
          </w:p>
        </w:tc>
      </w:tr>
      <w:tr>
        <w:tblPrEx>
          <w:tblBorders>
            <w:top w:val="single" w:color="9CC2E5" w:themeColor="accent1" w:themeTint="99" w:sz="4" w:space="0"/>
            <w:left w:val="single" w:color="9CC2E5" w:themeColor="accent1" w:themeTint="99" w:sz="4" w:space="0"/>
            <w:bottom w:val="single" w:color="9CC2E5" w:themeColor="accent1" w:themeTint="99" w:sz="4" w:space="0"/>
            <w:right w:val="single" w:color="9CC2E5" w:themeColor="accent1" w:themeTint="99" w:sz="4" w:space="0"/>
            <w:insideH w:val="single" w:color="9CC2E5" w:themeColor="accent1" w:themeTint="99" w:sz="4" w:space="0"/>
            <w:insideV w:val="single" w:color="9CC2E5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96" w:type="dxa"/>
          </w:tcPr>
          <w:p>
            <w:pPr>
              <w:spacing w:line="360" w:lineRule="exact"/>
              <w:jc w:val="center"/>
              <w:textAlignment w:val="center"/>
              <w:rPr>
                <w:rFonts w:ascii="仿宋" w:hAnsi="仿宋" w:eastAsia="仿宋" w:cstheme="minorEastAsia"/>
                <w:b/>
                <w:bCs/>
                <w:color w:val="000000" w:themeColor="text1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theme="minorEastAsia"/>
                <w:b/>
                <w:bCs/>
                <w:color w:val="000000" w:themeColor="text1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052" w:type="dxa"/>
          </w:tcPr>
          <w:p>
            <w:pPr>
              <w:spacing w:line="360" w:lineRule="exact"/>
              <w:textAlignment w:val="center"/>
              <w:rPr>
                <w:rFonts w:ascii="仿宋" w:hAnsi="仿宋" w:eastAsia="仿宋" w:cstheme="minorEastAsia"/>
                <w:color w:val="000000" w:themeColor="text1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假冒伪劣</w:t>
            </w:r>
          </w:p>
        </w:tc>
        <w:tc>
          <w:tcPr>
            <w:tcW w:w="3402" w:type="dxa"/>
          </w:tcPr>
          <w:p>
            <w:pPr>
              <w:spacing w:line="360" w:lineRule="exact"/>
              <w:jc w:val="center"/>
              <w:textAlignment w:val="center"/>
              <w:rPr>
                <w:rFonts w:ascii="仿宋" w:hAnsi="仿宋" w:eastAsia="仿宋" w:cstheme="minorEastAsia"/>
                <w:color w:val="000000" w:themeColor="text1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747612</w:t>
            </w:r>
          </w:p>
        </w:tc>
      </w:tr>
      <w:tr>
        <w:tblPrEx>
          <w:tblBorders>
            <w:top w:val="single" w:color="9CC2E5" w:themeColor="accent1" w:themeTint="99" w:sz="4" w:space="0"/>
            <w:left w:val="single" w:color="9CC2E5" w:themeColor="accent1" w:themeTint="99" w:sz="4" w:space="0"/>
            <w:bottom w:val="single" w:color="9CC2E5" w:themeColor="accent1" w:themeTint="99" w:sz="4" w:space="0"/>
            <w:right w:val="single" w:color="9CC2E5" w:themeColor="accent1" w:themeTint="99" w:sz="4" w:space="0"/>
            <w:insideH w:val="single" w:color="9CC2E5" w:themeColor="accent1" w:themeTint="99" w:sz="4" w:space="0"/>
            <w:insideV w:val="single" w:color="9CC2E5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96" w:type="dxa"/>
            <w:shd w:val="clear" w:color="auto" w:fill="DEEAF6" w:themeFill="accent1" w:themeFillTint="33"/>
          </w:tcPr>
          <w:p>
            <w:pPr>
              <w:spacing w:line="360" w:lineRule="exact"/>
              <w:jc w:val="center"/>
              <w:textAlignment w:val="center"/>
              <w:rPr>
                <w:rFonts w:ascii="仿宋" w:hAnsi="仿宋" w:eastAsia="仿宋" w:cstheme="minorEastAsia"/>
                <w:b/>
                <w:bCs/>
                <w:color w:val="000000" w:themeColor="text1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theme="minorEastAsia"/>
                <w:b/>
                <w:bCs/>
                <w:color w:val="000000" w:themeColor="text1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052" w:type="dxa"/>
            <w:shd w:val="clear" w:color="auto" w:fill="DEEAF6" w:themeFill="accent1" w:themeFillTint="33"/>
          </w:tcPr>
          <w:p>
            <w:pPr>
              <w:spacing w:line="360" w:lineRule="exact"/>
              <w:textAlignment w:val="center"/>
              <w:rPr>
                <w:rFonts w:ascii="仿宋" w:hAnsi="仿宋" w:eastAsia="仿宋" w:cstheme="minorEastAsia"/>
                <w:color w:val="000000" w:themeColor="text1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售后服务</w:t>
            </w:r>
          </w:p>
        </w:tc>
        <w:tc>
          <w:tcPr>
            <w:tcW w:w="3402" w:type="dxa"/>
            <w:shd w:val="clear" w:color="auto" w:fill="DEEAF6" w:themeFill="accent1" w:themeFillTint="33"/>
          </w:tcPr>
          <w:p>
            <w:pPr>
              <w:spacing w:line="360" w:lineRule="exact"/>
              <w:jc w:val="center"/>
              <w:textAlignment w:val="center"/>
              <w:rPr>
                <w:rFonts w:ascii="仿宋" w:hAnsi="仿宋" w:eastAsia="仿宋" w:cstheme="minorEastAsia"/>
                <w:color w:val="000000" w:themeColor="text1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672634</w:t>
            </w:r>
          </w:p>
        </w:tc>
      </w:tr>
      <w:tr>
        <w:tblPrEx>
          <w:tblBorders>
            <w:top w:val="single" w:color="9CC2E5" w:themeColor="accent1" w:themeTint="99" w:sz="4" w:space="0"/>
            <w:left w:val="single" w:color="9CC2E5" w:themeColor="accent1" w:themeTint="99" w:sz="4" w:space="0"/>
            <w:bottom w:val="single" w:color="9CC2E5" w:themeColor="accent1" w:themeTint="99" w:sz="4" w:space="0"/>
            <w:right w:val="single" w:color="9CC2E5" w:themeColor="accent1" w:themeTint="99" w:sz="4" w:space="0"/>
            <w:insideH w:val="single" w:color="9CC2E5" w:themeColor="accent1" w:themeTint="99" w:sz="4" w:space="0"/>
            <w:insideV w:val="single" w:color="9CC2E5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96" w:type="dxa"/>
          </w:tcPr>
          <w:p>
            <w:pPr>
              <w:spacing w:line="360" w:lineRule="exact"/>
              <w:jc w:val="center"/>
              <w:textAlignment w:val="center"/>
              <w:rPr>
                <w:rFonts w:ascii="仿宋" w:hAnsi="仿宋" w:eastAsia="仿宋" w:cstheme="minorEastAsia"/>
                <w:b/>
                <w:bCs/>
                <w:color w:val="000000" w:themeColor="text1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theme="minorEastAsia"/>
                <w:b/>
                <w:bCs/>
                <w:color w:val="000000" w:themeColor="text1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052" w:type="dxa"/>
          </w:tcPr>
          <w:p>
            <w:pPr>
              <w:spacing w:line="360" w:lineRule="exact"/>
              <w:textAlignment w:val="center"/>
              <w:rPr>
                <w:rFonts w:ascii="仿宋" w:hAnsi="仿宋" w:eastAsia="仿宋" w:cstheme="minorEastAsia"/>
                <w:color w:val="000000" w:themeColor="text1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合同问题</w:t>
            </w:r>
          </w:p>
        </w:tc>
        <w:tc>
          <w:tcPr>
            <w:tcW w:w="3402" w:type="dxa"/>
          </w:tcPr>
          <w:p>
            <w:pPr>
              <w:spacing w:line="360" w:lineRule="exact"/>
              <w:jc w:val="center"/>
              <w:textAlignment w:val="center"/>
              <w:rPr>
                <w:rFonts w:ascii="仿宋" w:hAnsi="仿宋" w:eastAsia="仿宋" w:cstheme="minorEastAsia"/>
                <w:color w:val="000000" w:themeColor="text1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625347</w:t>
            </w:r>
          </w:p>
        </w:tc>
      </w:tr>
      <w:tr>
        <w:tblPrEx>
          <w:tblBorders>
            <w:top w:val="single" w:color="9CC2E5" w:themeColor="accent1" w:themeTint="99" w:sz="4" w:space="0"/>
            <w:left w:val="single" w:color="9CC2E5" w:themeColor="accent1" w:themeTint="99" w:sz="4" w:space="0"/>
            <w:bottom w:val="single" w:color="9CC2E5" w:themeColor="accent1" w:themeTint="99" w:sz="4" w:space="0"/>
            <w:right w:val="single" w:color="9CC2E5" w:themeColor="accent1" w:themeTint="99" w:sz="4" w:space="0"/>
            <w:insideH w:val="single" w:color="9CC2E5" w:themeColor="accent1" w:themeTint="99" w:sz="4" w:space="0"/>
            <w:insideV w:val="single" w:color="9CC2E5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96" w:type="dxa"/>
            <w:shd w:val="clear" w:color="auto" w:fill="DEEAF6" w:themeFill="accent1" w:themeFillTint="33"/>
          </w:tcPr>
          <w:p>
            <w:pPr>
              <w:spacing w:line="360" w:lineRule="exact"/>
              <w:jc w:val="center"/>
              <w:textAlignment w:val="center"/>
              <w:rPr>
                <w:rFonts w:ascii="仿宋" w:hAnsi="仿宋" w:eastAsia="仿宋" w:cstheme="minorEastAsia"/>
                <w:b/>
                <w:bCs/>
                <w:color w:val="000000" w:themeColor="text1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theme="minorEastAsia"/>
                <w:b/>
                <w:bCs/>
                <w:color w:val="000000" w:themeColor="text1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3052" w:type="dxa"/>
            <w:shd w:val="clear" w:color="auto" w:fill="DEEAF6" w:themeFill="accent1" w:themeFillTint="33"/>
          </w:tcPr>
          <w:p>
            <w:pPr>
              <w:spacing w:line="360" w:lineRule="exact"/>
              <w:textAlignment w:val="center"/>
              <w:rPr>
                <w:rFonts w:ascii="仿宋" w:hAnsi="仿宋" w:eastAsia="仿宋" w:cstheme="minorEastAsia"/>
                <w:color w:val="000000" w:themeColor="text1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价格问题</w:t>
            </w:r>
          </w:p>
        </w:tc>
        <w:tc>
          <w:tcPr>
            <w:tcW w:w="3402" w:type="dxa"/>
            <w:shd w:val="clear" w:color="auto" w:fill="DEEAF6" w:themeFill="accent1" w:themeFillTint="33"/>
          </w:tcPr>
          <w:p>
            <w:pPr>
              <w:spacing w:line="360" w:lineRule="exact"/>
              <w:jc w:val="center"/>
              <w:textAlignment w:val="center"/>
              <w:rPr>
                <w:rFonts w:ascii="仿宋" w:hAnsi="仿宋" w:eastAsia="仿宋" w:cstheme="minorEastAsia"/>
                <w:color w:val="000000" w:themeColor="text1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369112</w:t>
            </w:r>
          </w:p>
        </w:tc>
      </w:tr>
      <w:tr>
        <w:tblPrEx>
          <w:tblBorders>
            <w:top w:val="single" w:color="9CC2E5" w:themeColor="accent1" w:themeTint="99" w:sz="4" w:space="0"/>
            <w:left w:val="single" w:color="9CC2E5" w:themeColor="accent1" w:themeTint="99" w:sz="4" w:space="0"/>
            <w:bottom w:val="single" w:color="9CC2E5" w:themeColor="accent1" w:themeTint="99" w:sz="4" w:space="0"/>
            <w:right w:val="single" w:color="9CC2E5" w:themeColor="accent1" w:themeTint="99" w:sz="4" w:space="0"/>
            <w:insideH w:val="single" w:color="9CC2E5" w:themeColor="accent1" w:themeTint="99" w:sz="4" w:space="0"/>
            <w:insideV w:val="single" w:color="9CC2E5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96" w:type="dxa"/>
          </w:tcPr>
          <w:p>
            <w:pPr>
              <w:spacing w:line="360" w:lineRule="exact"/>
              <w:jc w:val="center"/>
              <w:textAlignment w:val="center"/>
              <w:rPr>
                <w:rFonts w:ascii="仿宋" w:hAnsi="仿宋" w:eastAsia="仿宋" w:cstheme="minorEastAsia"/>
                <w:b/>
                <w:bCs/>
                <w:color w:val="000000" w:themeColor="text1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theme="minorEastAsia"/>
                <w:b/>
                <w:bCs/>
                <w:color w:val="000000" w:themeColor="text1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3052" w:type="dxa"/>
          </w:tcPr>
          <w:p>
            <w:pPr>
              <w:spacing w:line="360" w:lineRule="exact"/>
              <w:textAlignment w:val="center"/>
              <w:rPr>
                <w:rFonts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食品问题</w:t>
            </w:r>
          </w:p>
        </w:tc>
        <w:tc>
          <w:tcPr>
            <w:tcW w:w="3402" w:type="dxa"/>
          </w:tcPr>
          <w:p>
            <w:pPr>
              <w:spacing w:line="360" w:lineRule="exact"/>
              <w:jc w:val="center"/>
              <w:textAlignment w:val="center"/>
              <w:rPr>
                <w:rFonts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253958</w:t>
            </w:r>
          </w:p>
        </w:tc>
      </w:tr>
      <w:tr>
        <w:tblPrEx>
          <w:tblBorders>
            <w:top w:val="single" w:color="9CC2E5" w:themeColor="accent1" w:themeTint="99" w:sz="4" w:space="0"/>
            <w:left w:val="single" w:color="9CC2E5" w:themeColor="accent1" w:themeTint="99" w:sz="4" w:space="0"/>
            <w:bottom w:val="single" w:color="9CC2E5" w:themeColor="accent1" w:themeTint="99" w:sz="4" w:space="0"/>
            <w:right w:val="single" w:color="9CC2E5" w:themeColor="accent1" w:themeTint="99" w:sz="4" w:space="0"/>
            <w:insideH w:val="single" w:color="9CC2E5" w:themeColor="accent1" w:themeTint="99" w:sz="4" w:space="0"/>
            <w:insideV w:val="single" w:color="9CC2E5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96" w:type="dxa"/>
            <w:shd w:val="clear" w:color="auto" w:fill="DEEAF6" w:themeFill="accent1" w:themeFillTint="33"/>
          </w:tcPr>
          <w:p>
            <w:pPr>
              <w:spacing w:line="360" w:lineRule="exact"/>
              <w:jc w:val="center"/>
              <w:textAlignment w:val="center"/>
              <w:rPr>
                <w:rFonts w:ascii="仿宋" w:hAnsi="仿宋" w:eastAsia="仿宋" w:cstheme="minorEastAsia"/>
                <w:b/>
                <w:bCs/>
                <w:color w:val="000000" w:themeColor="text1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theme="minorEastAsia"/>
                <w:b/>
                <w:bCs/>
                <w:color w:val="000000" w:themeColor="text1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3052" w:type="dxa"/>
            <w:shd w:val="clear" w:color="auto" w:fill="DEEAF6" w:themeFill="accent1" w:themeFillTint="33"/>
          </w:tcPr>
          <w:p>
            <w:pPr>
              <w:spacing w:line="360" w:lineRule="exact"/>
              <w:textAlignment w:val="center"/>
              <w:rPr>
                <w:rFonts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虚假宣传</w:t>
            </w:r>
          </w:p>
        </w:tc>
        <w:tc>
          <w:tcPr>
            <w:tcW w:w="3402" w:type="dxa"/>
            <w:shd w:val="clear" w:color="auto" w:fill="DEEAF6" w:themeFill="accent1" w:themeFillTint="33"/>
          </w:tcPr>
          <w:p>
            <w:pPr>
              <w:spacing w:line="360" w:lineRule="exact"/>
              <w:jc w:val="center"/>
              <w:textAlignment w:val="center"/>
              <w:rPr>
                <w:rFonts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206578</w:t>
            </w:r>
          </w:p>
        </w:tc>
      </w:tr>
      <w:tr>
        <w:tblPrEx>
          <w:tblBorders>
            <w:top w:val="single" w:color="9CC2E5" w:themeColor="accent1" w:themeTint="99" w:sz="4" w:space="0"/>
            <w:left w:val="single" w:color="9CC2E5" w:themeColor="accent1" w:themeTint="99" w:sz="4" w:space="0"/>
            <w:bottom w:val="single" w:color="9CC2E5" w:themeColor="accent1" w:themeTint="99" w:sz="4" w:space="0"/>
            <w:right w:val="single" w:color="9CC2E5" w:themeColor="accent1" w:themeTint="99" w:sz="4" w:space="0"/>
            <w:insideH w:val="single" w:color="9CC2E5" w:themeColor="accent1" w:themeTint="99" w:sz="4" w:space="0"/>
            <w:insideV w:val="single" w:color="9CC2E5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96" w:type="dxa"/>
          </w:tcPr>
          <w:p>
            <w:pPr>
              <w:spacing w:line="360" w:lineRule="exact"/>
              <w:jc w:val="center"/>
              <w:textAlignment w:val="center"/>
              <w:rPr>
                <w:rFonts w:ascii="仿宋" w:hAnsi="仿宋" w:eastAsia="仿宋" w:cstheme="minorEastAsia"/>
                <w:b/>
                <w:bCs/>
                <w:color w:val="000000" w:themeColor="text1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theme="minorEastAsia"/>
                <w:b/>
                <w:bCs/>
                <w:color w:val="000000" w:themeColor="text1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3052" w:type="dxa"/>
          </w:tcPr>
          <w:p>
            <w:pPr>
              <w:spacing w:line="360" w:lineRule="exact"/>
              <w:textAlignment w:val="center"/>
              <w:rPr>
                <w:rFonts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侵害消费者权益</w:t>
            </w:r>
          </w:p>
        </w:tc>
        <w:tc>
          <w:tcPr>
            <w:tcW w:w="3402" w:type="dxa"/>
          </w:tcPr>
          <w:p>
            <w:pPr>
              <w:spacing w:line="360" w:lineRule="exact"/>
              <w:jc w:val="center"/>
              <w:textAlignment w:val="center"/>
              <w:rPr>
                <w:rFonts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149655</w:t>
            </w:r>
          </w:p>
        </w:tc>
      </w:tr>
      <w:tr>
        <w:tblPrEx>
          <w:tblBorders>
            <w:top w:val="single" w:color="9CC2E5" w:themeColor="accent1" w:themeTint="99" w:sz="4" w:space="0"/>
            <w:left w:val="single" w:color="9CC2E5" w:themeColor="accent1" w:themeTint="99" w:sz="4" w:space="0"/>
            <w:bottom w:val="single" w:color="9CC2E5" w:themeColor="accent1" w:themeTint="99" w:sz="4" w:space="0"/>
            <w:right w:val="single" w:color="9CC2E5" w:themeColor="accent1" w:themeTint="99" w:sz="4" w:space="0"/>
            <w:insideH w:val="single" w:color="9CC2E5" w:themeColor="accent1" w:themeTint="99" w:sz="4" w:space="0"/>
            <w:insideV w:val="single" w:color="9CC2E5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96" w:type="dxa"/>
            <w:shd w:val="clear" w:color="auto" w:fill="DEEAF6" w:themeFill="accent1" w:themeFillTint="33"/>
          </w:tcPr>
          <w:p>
            <w:pPr>
              <w:spacing w:line="360" w:lineRule="exact"/>
              <w:jc w:val="center"/>
              <w:textAlignment w:val="center"/>
              <w:rPr>
                <w:rFonts w:ascii="仿宋" w:hAnsi="仿宋" w:eastAsia="仿宋" w:cstheme="minorEastAsia"/>
                <w:b/>
                <w:bCs/>
                <w:color w:val="000000" w:themeColor="text1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theme="minorEastAsia"/>
                <w:b/>
                <w:bCs/>
                <w:color w:val="000000" w:themeColor="text1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3052" w:type="dxa"/>
            <w:shd w:val="clear" w:color="auto" w:fill="DEEAF6" w:themeFill="accent1" w:themeFillTint="33"/>
          </w:tcPr>
          <w:p>
            <w:pPr>
              <w:spacing w:line="360" w:lineRule="exact"/>
              <w:textAlignment w:val="center"/>
              <w:rPr>
                <w:rFonts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人身权利</w:t>
            </w:r>
          </w:p>
        </w:tc>
        <w:tc>
          <w:tcPr>
            <w:tcW w:w="3402" w:type="dxa"/>
            <w:shd w:val="clear" w:color="auto" w:fill="DEEAF6" w:themeFill="accent1" w:themeFillTint="33"/>
          </w:tcPr>
          <w:p>
            <w:pPr>
              <w:spacing w:line="360" w:lineRule="exact"/>
              <w:jc w:val="center"/>
              <w:textAlignment w:val="center"/>
              <w:rPr>
                <w:rFonts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84548</w:t>
            </w:r>
          </w:p>
        </w:tc>
      </w:tr>
      <w:tr>
        <w:tblPrEx>
          <w:tblBorders>
            <w:top w:val="single" w:color="9CC2E5" w:themeColor="accent1" w:themeTint="99" w:sz="4" w:space="0"/>
            <w:left w:val="single" w:color="9CC2E5" w:themeColor="accent1" w:themeTint="99" w:sz="4" w:space="0"/>
            <w:bottom w:val="single" w:color="9CC2E5" w:themeColor="accent1" w:themeTint="99" w:sz="4" w:space="0"/>
            <w:right w:val="single" w:color="9CC2E5" w:themeColor="accent1" w:themeTint="99" w:sz="4" w:space="0"/>
            <w:insideH w:val="single" w:color="9CC2E5" w:themeColor="accent1" w:themeTint="99" w:sz="4" w:space="0"/>
            <w:insideV w:val="single" w:color="9CC2E5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96" w:type="dxa"/>
          </w:tcPr>
          <w:p>
            <w:pPr>
              <w:spacing w:line="360" w:lineRule="exact"/>
              <w:jc w:val="center"/>
              <w:textAlignment w:val="center"/>
              <w:rPr>
                <w:rFonts w:ascii="仿宋" w:hAnsi="仿宋" w:eastAsia="仿宋" w:cstheme="minorEastAsia"/>
                <w:b/>
                <w:bCs/>
                <w:color w:val="000000" w:themeColor="text1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theme="minorEastAsia"/>
                <w:b/>
                <w:bCs/>
                <w:color w:val="000000" w:themeColor="text1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仿宋" w:hAnsi="仿宋" w:eastAsia="仿宋" w:cstheme="minorEastAsia"/>
                <w:b/>
                <w:bCs/>
                <w:color w:val="000000" w:themeColor="text1"/>
                <w:sz w:val="22"/>
                <w:szCs w:val="22"/>
                <w:lang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3052" w:type="dxa"/>
          </w:tcPr>
          <w:p>
            <w:pPr>
              <w:spacing w:line="360" w:lineRule="exact"/>
              <w:textAlignment w:val="center"/>
              <w:rPr>
                <w:rFonts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安全问题</w:t>
            </w:r>
          </w:p>
        </w:tc>
        <w:tc>
          <w:tcPr>
            <w:tcW w:w="3402" w:type="dxa"/>
          </w:tcPr>
          <w:p>
            <w:pPr>
              <w:spacing w:line="360" w:lineRule="exact"/>
              <w:jc w:val="center"/>
              <w:textAlignment w:val="center"/>
              <w:rPr>
                <w:rFonts w:ascii="仿宋" w:hAnsi="仿宋" w:eastAsia="仿宋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 w:val="22"/>
                <w:szCs w:val="22"/>
              </w:rPr>
              <w:t>74110</w:t>
            </w:r>
          </w:p>
        </w:tc>
      </w:tr>
    </w:tbl>
    <w:p>
      <w:pPr>
        <w:spacing w:line="580" w:lineRule="exact"/>
        <w:ind w:firstLine="640" w:firstLineChars="20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t>数据</w:t>
      </w:r>
      <w:r>
        <w:rPr>
          <w:rFonts w:ascii="仿宋_GB2312" w:eastAsia="仿宋_GB2312"/>
          <w:bCs/>
          <w:sz w:val="32"/>
          <w:szCs w:val="32"/>
        </w:rPr>
        <w:t>一方面</w:t>
      </w:r>
      <w:r>
        <w:rPr>
          <w:rFonts w:hint="eastAsia" w:ascii="仿宋_GB2312" w:eastAsia="仿宋_GB2312"/>
          <w:bCs/>
          <w:sz w:val="32"/>
          <w:szCs w:val="32"/>
        </w:rPr>
        <w:t>受整合后业务拓展和渠道扩宽影响，各类问题均较去年同期明显增加，</w:t>
      </w:r>
      <w:r>
        <w:rPr>
          <w:rFonts w:ascii="仿宋_GB2312" w:eastAsia="仿宋_GB2312"/>
          <w:bCs/>
          <w:sz w:val="32"/>
          <w:szCs w:val="32"/>
        </w:rPr>
        <w:t>另一方面</w:t>
      </w:r>
      <w:r>
        <w:rPr>
          <w:rFonts w:hint="eastAsia" w:ascii="仿宋_GB2312" w:eastAsia="仿宋_GB2312"/>
          <w:bCs/>
          <w:sz w:val="32"/>
          <w:szCs w:val="32"/>
        </w:rPr>
        <w:t>也从侧面反映出12315热线社会知晓度高，是家喻户晓、深入人心的优质服务热线。</w:t>
      </w:r>
    </w:p>
    <w:p>
      <w:pPr>
        <w:spacing w:line="580" w:lineRule="exact"/>
        <w:ind w:firstLine="640" w:firstLineChars="20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t>同时，消费者对广告问题的“围观”热度攀升，也充分说明了消费者对服务理念、品质感知等方面的要求不断提升，这将倒逼相关主体在服务品质与诚信经营两方面不断提质升级。</w:t>
      </w:r>
    </w:p>
    <w:p>
      <w:pPr>
        <w:spacing w:line="580" w:lineRule="exact"/>
        <w:ind w:firstLine="2240" w:firstLineChars="700"/>
        <w:rPr>
          <w:rFonts w:ascii="黑体" w:hAnsi="黑体" w:eastAsia="黑体" w:cs="黑体"/>
          <w:bCs/>
          <w:sz w:val="32"/>
          <w:szCs w:val="32"/>
        </w:rPr>
      </w:pPr>
    </w:p>
    <w:p>
      <w:pPr>
        <w:spacing w:line="580" w:lineRule="exact"/>
        <w:ind w:firstLine="2240" w:firstLineChars="700"/>
        <w:rPr>
          <w:rFonts w:ascii="方正小标宋简体" w:hAnsi="方正小标宋简体" w:eastAsia="方正小标宋简体" w:cs="方正小标宋简体"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Cs/>
          <w:sz w:val="32"/>
          <w:szCs w:val="32"/>
        </w:rPr>
        <w:t>线上零售直播带货等新兴行业诉求攀升</w:t>
      </w:r>
    </w:p>
    <w:p>
      <w:pPr>
        <w:spacing w:line="580" w:lineRule="exact"/>
        <w:ind w:firstLine="640" w:firstLineChars="200"/>
        <w:jc w:val="both"/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Hlk53076447"/>
      <w:r>
        <w:rPr>
          <w:rFonts w:hint="eastAsia" w:ascii="仿宋_GB2312" w:hAnsi="仿宋_GB2312" w:eastAsia="仿宋_GB2312" w:cs="仿宋_GB2312"/>
          <w:sz w:val="32"/>
          <w:szCs w:val="32"/>
        </w:rPr>
        <w:t>疫情期间，直播带货等非接触式消费显著增长，关于“直播”的投诉举报也相应迅速增长。</w:t>
      </w:r>
    </w:p>
    <w:p>
      <w:pPr>
        <w:spacing w:line="580" w:lineRule="exact"/>
        <w:ind w:firstLine="640" w:firstLineChars="20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/>
          <w:bCs/>
          <w:sz w:val="32"/>
          <w:szCs w:val="32"/>
        </w:rPr>
        <w:t>数据</w:t>
      </w:r>
      <w:r>
        <w:rPr>
          <w:rFonts w:hint="eastAsia" w:ascii="仿宋_GB2312" w:eastAsia="仿宋_GB2312"/>
          <w:bCs/>
          <w:sz w:val="32"/>
          <w:szCs w:val="32"/>
        </w:rPr>
        <w:t>显示，网购等新兴行业投诉举报主要表现出以下几个方面的特点：</w:t>
      </w:r>
    </w:p>
    <w:p>
      <w:pPr>
        <w:spacing w:line="580" w:lineRule="exact"/>
        <w:ind w:firstLine="640" w:firstLineChars="200"/>
        <w:jc w:val="both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一是网购诉求有所增长，主要集中在东部经济发达地区</w:t>
      </w:r>
    </w:p>
    <w:p>
      <w:pPr>
        <w:spacing w:line="580" w:lineRule="exact"/>
        <w:ind w:firstLine="640" w:firstLineChars="200"/>
        <w:jc w:val="both"/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2020年，在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中国经济运行稳步复苏、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网上零售持续较快增长的背景下，全国12315平台共受理网购投诉举报146.72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万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件，占投诉举报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受理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总量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（4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60.71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万件）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的31.85%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今年前三季度同比增长42.4%。</w:t>
      </w:r>
    </w:p>
    <w:p>
      <w:pPr>
        <w:spacing w:line="580" w:lineRule="exact"/>
        <w:ind w:firstLine="640" w:firstLineChars="200"/>
        <w:jc w:val="both"/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投诉举报主要聚焦于广告问题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35.38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万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件）、假冒伪劣（25.1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万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件）和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售后服务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（20.98</w:t>
      </w:r>
      <w:r>
        <w:rPr>
          <w:rFonts w:hint="eastAsia"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万</w:t>
      </w:r>
      <w:r>
        <w:rPr>
          <w:rFonts w:ascii="仿宋_GB2312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件）。</w:t>
      </w:r>
    </w:p>
    <w:p>
      <w:pPr>
        <w:spacing w:line="580" w:lineRule="exact"/>
        <w:ind w:firstLine="640" w:firstLineChars="20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t>从网购投诉举报地域分布来看，主要集中在广东、浙江、上海、北京和江苏等省区市，网购诉求仍集中在东部经济发达地区。</w:t>
      </w:r>
      <w:bookmarkEnd w:id="0"/>
    </w:p>
    <w:p>
      <w:pPr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drawing>
          <wp:inline distT="0" distB="0" distL="114300" distR="114300">
            <wp:extent cx="6176645" cy="2875280"/>
            <wp:effectExtent l="0" t="0" r="14605" b="1270"/>
            <wp:docPr id="4" name="图片 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二是“头部”平台直播带货投诉多，售后退换货难等问题突出</w:t>
      </w:r>
    </w:p>
    <w:p>
      <w:pPr>
        <w:spacing w:line="580" w:lineRule="exact"/>
        <w:ind w:firstLine="640" w:firstLineChars="200"/>
        <w:jc w:val="both"/>
        <w:rPr>
          <w:rFonts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（一）“直播带货”诉求占比近六成，首饰、服装鞋帽投诉量大</w:t>
      </w:r>
    </w:p>
    <w:p>
      <w:pPr>
        <w:spacing w:line="580" w:lineRule="exact"/>
        <w:ind w:firstLine="640" w:firstLineChars="200"/>
        <w:jc w:val="both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前三季度，全国12315平台共接收“直播”相关投诉举报2.19万件，同比增长479.60%，其中，“直播带货”诉求占比近六成。已办结2.01万件，立案862件（诉转案120件，举报立案742件）。针对商品的“直播”相关诉求主要集中在首饰（2749件）、服装鞋帽（1643件）、家居用品（1431件）等方面。</w:t>
      </w:r>
    </w:p>
    <w:p>
      <w:pPr>
        <w:numPr>
          <w:ilvl w:val="255"/>
          <w:numId w:val="0"/>
        </w:numPr>
        <w:spacing w:line="580" w:lineRule="exact"/>
        <w:ind w:firstLine="640" w:firstLineChars="200"/>
        <w:jc w:val="both"/>
        <w:rPr>
          <w:rFonts w:ascii="楷体" w:hAnsi="楷体" w:eastAsia="楷体" w:cs="楷体"/>
          <w:sz w:val="32"/>
          <w:szCs w:val="32"/>
        </w:rPr>
      </w:pPr>
    </w:p>
    <w:p>
      <w:pPr>
        <w:numPr>
          <w:ilvl w:val="255"/>
          <w:numId w:val="0"/>
        </w:numPr>
        <w:spacing w:line="580" w:lineRule="exact"/>
        <w:ind w:firstLine="640" w:firstLineChars="200"/>
        <w:jc w:val="both"/>
        <w:rPr>
          <w:rFonts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（二）“头部”电商平台直播带货投诉多</w:t>
      </w:r>
    </w:p>
    <w:p>
      <w:pPr>
        <w:autoSpaceDE w:val="0"/>
        <w:autoSpaceDN w:val="0"/>
        <w:adjustRightInd w:val="0"/>
        <w:spacing w:line="580" w:lineRule="exact"/>
        <w:ind w:firstLine="640" w:firstLineChars="20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“直播”相关投诉举报共涉及8079家企业，排名前五均为头部电商平台和短视频平台，累计诉求2585件，占“直播”总诉求量的十分之一。从消费者集中反映的问题来看，产品质量疏于把关，使用“极限词”等诱导消费者冲动消费，售后退换货难以保障等问题在直播平台中</w:t>
      </w:r>
      <w:r>
        <w:rPr>
          <w:rFonts w:hint="eastAsia" w:ascii="仿宋_GB2312" w:eastAsia="仿宋_GB2312"/>
          <w:bCs/>
          <w:sz w:val="32"/>
          <w:szCs w:val="32"/>
        </w:rPr>
        <w:t>较为突出。</w:t>
      </w:r>
    </w:p>
    <w:p>
      <w:pPr>
        <w:autoSpaceDE w:val="0"/>
        <w:autoSpaceDN w:val="0"/>
        <w:adjustRightInd w:val="0"/>
        <w:spacing w:line="580" w:lineRule="exact"/>
        <w:ind w:firstLine="640" w:firstLineChars="20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t>数据说明，作为技术革新升级与网红“粉丝聚焦效应”融合共生的产物，直播带货已成为众多电商升级的新突破口。然而，与直播带货交易火爆的场景相对应的，却是网红与平台规则意识的普遍缺失。</w:t>
      </w:r>
    </w:p>
    <w:p>
      <w:pPr>
        <w:autoSpaceDE w:val="0"/>
        <w:autoSpaceDN w:val="0"/>
        <w:adjustRightInd w:val="0"/>
        <w:spacing w:line="580" w:lineRule="exact"/>
        <w:ind w:firstLine="640" w:firstLineChars="20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“直播带货”诉求</w:t>
      </w:r>
      <w:r>
        <w:rPr>
          <w:rFonts w:hint="eastAsia" w:ascii="仿宋_GB2312" w:eastAsia="仿宋_GB2312"/>
          <w:bCs/>
          <w:sz w:val="32"/>
          <w:szCs w:val="32"/>
        </w:rPr>
        <w:t>表明，消费者对各方主体提出了明确要求：电商平台、入驻商家和网红主播在获取</w:t>
      </w:r>
      <w:r>
        <w:rPr>
          <w:rFonts w:ascii="仿宋_GB2312" w:eastAsia="仿宋_GB2312"/>
          <w:bCs/>
          <w:sz w:val="32"/>
          <w:szCs w:val="32"/>
        </w:rPr>
        <w:t>利益</w:t>
      </w:r>
      <w:r>
        <w:rPr>
          <w:rFonts w:hint="eastAsia" w:ascii="仿宋_GB2312" w:eastAsia="仿宋_GB2312"/>
          <w:bCs/>
          <w:sz w:val="32"/>
          <w:szCs w:val="32"/>
        </w:rPr>
        <w:t>的同时，要切实承担起相应的</w:t>
      </w:r>
      <w:r>
        <w:rPr>
          <w:rFonts w:ascii="仿宋_GB2312" w:eastAsia="仿宋_GB2312"/>
          <w:bCs/>
          <w:sz w:val="32"/>
          <w:szCs w:val="32"/>
        </w:rPr>
        <w:t>责任</w:t>
      </w:r>
      <w:r>
        <w:rPr>
          <w:rFonts w:hint="eastAsia" w:ascii="仿宋_GB2312" w:eastAsia="仿宋_GB2312"/>
          <w:bCs/>
          <w:sz w:val="32"/>
          <w:szCs w:val="32"/>
        </w:rPr>
        <w:t>，尤其是电商平台要强化对入驻商家和网红的规范约束，共同保障消费者合法权益。</w:t>
      </w:r>
    </w:p>
    <w:p>
      <w:pPr>
        <w:numPr>
          <w:ilvl w:val="255"/>
          <w:numId w:val="0"/>
        </w:numPr>
        <w:spacing w:line="580" w:lineRule="exact"/>
        <w:ind w:firstLine="640" w:firstLineChars="200"/>
        <w:jc w:val="both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三是新兴行业诉求量大，苹果是投诉举报量最多的品牌</w:t>
      </w:r>
    </w:p>
    <w:p>
      <w:pPr>
        <w:numPr>
          <w:ilvl w:val="255"/>
          <w:numId w:val="0"/>
        </w:numPr>
        <w:spacing w:line="580" w:lineRule="exact"/>
        <w:ind w:firstLine="640" w:firstLineChars="20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hint="eastAsia" w:ascii="楷体" w:hAnsi="楷体" w:eastAsia="楷体" w:cs="楷体"/>
          <w:bCs/>
          <w:sz w:val="32"/>
          <w:szCs w:val="32"/>
        </w:rPr>
        <w:t>（一）线上零售企业占比最高</w:t>
      </w:r>
    </w:p>
    <w:p>
      <w:pPr>
        <w:spacing w:line="580" w:lineRule="exact"/>
        <w:ind w:firstLine="640" w:firstLineChars="20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t>前三季度，全国12315平台投诉举报共涉及企业</w:t>
      </w:r>
      <w:r>
        <w:rPr>
          <w:rFonts w:ascii="仿宋_GB2312" w:eastAsia="仿宋_GB2312"/>
          <w:bCs/>
          <w:sz w:val="32"/>
          <w:szCs w:val="32"/>
        </w:rPr>
        <w:t>211.23</w:t>
      </w:r>
      <w:r>
        <w:rPr>
          <w:rFonts w:hint="eastAsia" w:ascii="仿宋_GB2312" w:eastAsia="仿宋_GB2312"/>
          <w:bCs/>
          <w:sz w:val="32"/>
          <w:szCs w:val="32"/>
        </w:rPr>
        <w:t>万家，同比增长</w:t>
      </w:r>
      <w:r>
        <w:rPr>
          <w:rFonts w:ascii="仿宋_GB2312" w:eastAsia="仿宋_GB2312"/>
          <w:bCs/>
          <w:sz w:val="32"/>
          <w:szCs w:val="32"/>
        </w:rPr>
        <w:t>91.24%</w:t>
      </w:r>
      <w:r>
        <w:rPr>
          <w:rFonts w:hint="eastAsia" w:ascii="仿宋_GB2312" w:eastAsia="仿宋_GB2312"/>
          <w:bCs/>
          <w:sz w:val="32"/>
          <w:szCs w:val="32"/>
        </w:rPr>
        <w:t>,top100企业投诉举报量共</w:t>
      </w:r>
      <w:r>
        <w:rPr>
          <w:rFonts w:ascii="仿宋_GB2312" w:eastAsia="仿宋_GB2312"/>
          <w:bCs/>
          <w:sz w:val="32"/>
          <w:szCs w:val="32"/>
        </w:rPr>
        <w:t>65.44</w:t>
      </w:r>
      <w:r>
        <w:rPr>
          <w:rFonts w:hint="eastAsia" w:ascii="仿宋_GB2312" w:eastAsia="仿宋_GB2312"/>
          <w:bCs/>
          <w:sz w:val="32"/>
          <w:szCs w:val="32"/>
        </w:rPr>
        <w:t>万件，合计占比</w:t>
      </w:r>
      <w:r>
        <w:rPr>
          <w:rFonts w:ascii="仿宋_GB2312" w:eastAsia="仿宋_GB2312"/>
          <w:bCs/>
          <w:sz w:val="32"/>
          <w:szCs w:val="32"/>
        </w:rPr>
        <w:t>11.36%</w:t>
      </w:r>
      <w:r>
        <w:rPr>
          <w:rFonts w:hint="eastAsia" w:ascii="仿宋_GB2312" w:eastAsia="仿宋_GB2312"/>
          <w:bCs/>
          <w:sz w:val="32"/>
          <w:szCs w:val="32"/>
        </w:rPr>
        <w:t>；Top100企业中，线上零售公司占比最高，为26%；其次为旅游公司（包含线下旅行社和线上旅游平台），占比为12%；传统行业如航空公司、通信公司占比约为4%。</w:t>
      </w:r>
    </w:p>
    <w:p>
      <w:pPr>
        <w:jc w:val="both"/>
        <w:rPr>
          <w:rFonts w:ascii="仿宋_GB2312" w:eastAsia="仿宋_GB2312"/>
          <w:bCs/>
          <w:sz w:val="32"/>
          <w:szCs w:val="32"/>
        </w:rPr>
      </w:pPr>
    </w:p>
    <w:p>
      <w:pPr>
        <w:spacing w:line="580" w:lineRule="exact"/>
        <w:ind w:firstLine="640" w:firstLineChars="200"/>
        <w:jc w:val="both"/>
        <w:rPr>
          <w:rFonts w:ascii="楷体" w:hAnsi="楷体" w:eastAsia="楷体" w:cs="楷体"/>
          <w:bCs/>
          <w:sz w:val="32"/>
          <w:szCs w:val="32"/>
        </w:rPr>
      </w:pPr>
    </w:p>
    <w:p>
      <w:pPr>
        <w:spacing w:line="580" w:lineRule="exact"/>
        <w:ind w:firstLine="640" w:firstLineChars="200"/>
        <w:jc w:val="both"/>
        <w:rPr>
          <w:rFonts w:ascii="楷体" w:hAnsi="楷体" w:eastAsia="楷体" w:cs="楷体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160655</wp:posOffset>
            </wp:positionV>
            <wp:extent cx="6186805" cy="3121025"/>
            <wp:effectExtent l="0" t="0" r="4445" b="3175"/>
            <wp:wrapSquare wrapText="bothSides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80" w:lineRule="exact"/>
        <w:ind w:firstLine="640" w:firstLineChars="200"/>
        <w:jc w:val="both"/>
        <w:rPr>
          <w:rFonts w:ascii="楷体" w:hAnsi="楷体" w:eastAsia="楷体" w:cs="楷体"/>
          <w:bCs/>
          <w:sz w:val="32"/>
          <w:szCs w:val="32"/>
        </w:rPr>
      </w:pPr>
      <w:r>
        <w:rPr>
          <w:rFonts w:hint="eastAsia" w:ascii="楷体" w:hAnsi="楷体" w:eastAsia="楷体" w:cs="楷体"/>
          <w:bCs/>
          <w:sz w:val="32"/>
          <w:szCs w:val="32"/>
        </w:rPr>
        <w:t>（二）苹果排在</w:t>
      </w:r>
      <w:r>
        <w:rPr>
          <w:rFonts w:hint="eastAsia" w:ascii="楷体" w:hAnsi="楷体" w:eastAsia="楷体" w:cs="楷体"/>
          <w:bCs/>
          <w:color w:val="000000"/>
          <w:sz w:val="32"/>
          <w:szCs w:val="32"/>
        </w:rPr>
        <w:t>品牌投诉举报</w:t>
      </w:r>
      <w:r>
        <w:rPr>
          <w:rFonts w:hint="eastAsia" w:ascii="楷体" w:hAnsi="楷体" w:eastAsia="楷体" w:cs="楷体"/>
          <w:bCs/>
          <w:sz w:val="32"/>
          <w:szCs w:val="32"/>
        </w:rPr>
        <w:t>首位</w:t>
      </w:r>
    </w:p>
    <w:p>
      <w:pPr>
        <w:spacing w:line="580" w:lineRule="exact"/>
        <w:ind w:firstLine="640" w:firstLineChars="20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t>投诉举报涉及品牌</w:t>
      </w:r>
      <w:r>
        <w:rPr>
          <w:rFonts w:ascii="仿宋_GB2312" w:eastAsia="仿宋_GB2312"/>
          <w:bCs/>
          <w:sz w:val="32"/>
          <w:szCs w:val="32"/>
        </w:rPr>
        <w:t>54127</w:t>
      </w:r>
      <w:r>
        <w:rPr>
          <w:rFonts w:hint="eastAsia" w:ascii="仿宋_GB2312" w:eastAsia="仿宋_GB2312"/>
          <w:bCs/>
          <w:sz w:val="32"/>
          <w:szCs w:val="32"/>
        </w:rPr>
        <w:t>个，同比下降</w:t>
      </w:r>
      <w:r>
        <w:rPr>
          <w:rFonts w:ascii="仿宋_GB2312" w:eastAsia="仿宋_GB2312"/>
          <w:bCs/>
          <w:sz w:val="32"/>
          <w:szCs w:val="32"/>
        </w:rPr>
        <w:t>0.95</w:t>
      </w:r>
      <w:r>
        <w:rPr>
          <w:rFonts w:hint="eastAsia" w:ascii="仿宋_GB2312" w:eastAsia="仿宋_GB2312"/>
          <w:bCs/>
          <w:sz w:val="32"/>
          <w:szCs w:val="32"/>
        </w:rPr>
        <w:t>%；Top100品牌投诉举报量3</w:t>
      </w:r>
      <w:r>
        <w:rPr>
          <w:rFonts w:ascii="仿宋_GB2312" w:eastAsia="仿宋_GB2312"/>
          <w:bCs/>
          <w:sz w:val="32"/>
          <w:szCs w:val="32"/>
        </w:rPr>
        <w:t>9.52</w:t>
      </w:r>
      <w:r>
        <w:rPr>
          <w:rFonts w:hint="eastAsia" w:ascii="仿宋_GB2312" w:eastAsia="仿宋_GB2312"/>
          <w:bCs/>
          <w:sz w:val="32"/>
          <w:szCs w:val="32"/>
        </w:rPr>
        <w:t>万件，合计占比</w:t>
      </w:r>
      <w:r>
        <w:rPr>
          <w:rFonts w:ascii="仿宋_GB2312" w:eastAsia="仿宋_GB2312"/>
          <w:bCs/>
          <w:sz w:val="32"/>
          <w:szCs w:val="32"/>
        </w:rPr>
        <w:t>3.26</w:t>
      </w:r>
      <w:r>
        <w:rPr>
          <w:rFonts w:hint="eastAsia" w:ascii="仿宋_GB2312" w:eastAsia="仿宋_GB2312"/>
          <w:bCs/>
          <w:sz w:val="32"/>
          <w:szCs w:val="32"/>
        </w:rPr>
        <w:t>%；Top100品牌中，智能设备类占比最高，为</w:t>
      </w:r>
      <w:r>
        <w:rPr>
          <w:rFonts w:ascii="仿宋_GB2312" w:eastAsia="仿宋_GB2312"/>
          <w:bCs/>
          <w:sz w:val="32"/>
          <w:szCs w:val="32"/>
        </w:rPr>
        <w:t>23</w:t>
      </w:r>
      <w:r>
        <w:rPr>
          <w:rFonts w:hint="eastAsia" w:ascii="仿宋_GB2312" w:eastAsia="仿宋_GB2312"/>
          <w:bCs/>
          <w:sz w:val="32"/>
          <w:szCs w:val="32"/>
        </w:rPr>
        <w:t>%；其次为游戏类，占比为</w:t>
      </w:r>
      <w:r>
        <w:rPr>
          <w:rFonts w:ascii="仿宋_GB2312" w:eastAsia="仿宋_GB2312"/>
          <w:bCs/>
          <w:sz w:val="32"/>
          <w:szCs w:val="32"/>
        </w:rPr>
        <w:t>13</w:t>
      </w:r>
      <w:r>
        <w:rPr>
          <w:rFonts w:hint="eastAsia" w:ascii="仿宋_GB2312" w:eastAsia="仿宋_GB2312"/>
          <w:bCs/>
          <w:sz w:val="32"/>
          <w:szCs w:val="32"/>
        </w:rPr>
        <w:t>%；共享单车、房地产、化妆品等类别占比约为</w:t>
      </w:r>
      <w:r>
        <w:rPr>
          <w:rFonts w:ascii="仿宋_GB2312" w:eastAsia="仿宋_GB2312"/>
          <w:bCs/>
          <w:sz w:val="32"/>
          <w:szCs w:val="32"/>
        </w:rPr>
        <w:t>1</w:t>
      </w:r>
      <w:r>
        <w:rPr>
          <w:rFonts w:hint="eastAsia" w:ascii="仿宋_GB2312" w:eastAsia="仿宋_GB2312"/>
          <w:bCs/>
          <w:sz w:val="32"/>
          <w:szCs w:val="32"/>
        </w:rPr>
        <w:t>%。</w:t>
      </w:r>
    </w:p>
    <w:p>
      <w:pPr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drawing>
          <wp:inline distT="0" distB="0" distL="114300" distR="114300">
            <wp:extent cx="6186805" cy="3209290"/>
            <wp:effectExtent l="0" t="0" r="4445" b="1016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jc w:val="both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品牌投诉举报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排在首位的是苹果，主要问题集中在售后服务（1.08万件）、质量问题（7851件）和合同问题（3436件），分别占比28.13%、20.53%和8.99%。</w:t>
      </w:r>
      <w:bookmarkStart w:id="1" w:name="_Hlk53067248"/>
      <w:r>
        <w:rPr>
          <w:rFonts w:hint="eastAsia" w:ascii="仿宋_GB2312" w:hAnsi="仿宋_GB2312" w:eastAsia="仿宋_GB2312" w:cs="仿宋_GB2312"/>
          <w:bCs/>
          <w:sz w:val="32"/>
          <w:szCs w:val="32"/>
        </w:rPr>
        <w:t>从苹果品牌涉及的商品来看，投诉举报量较高的为iPhone（1.99万件）、便携式及平板计算机（5185件）和游戏软件（832件），分别占比51.76%、13.57%和4.2%。</w:t>
      </w:r>
    </w:p>
    <w:p>
      <w:pPr>
        <w:spacing w:line="580" w:lineRule="exact"/>
        <w:ind w:firstLine="640" w:firstLineChars="200"/>
        <w:jc w:val="both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数据说明，相关主体应真诚正视消费者追求品质的新需求、新动向，切实同步提升行业综合服务能力与服务水平，切实改善消费者品质消费的良好体验。</w:t>
      </w:r>
    </w:p>
    <w:bookmarkEnd w:id="1"/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  <w:lang w:bidi="ar"/>
        </w:rPr>
      </w:pPr>
    </w:p>
    <w:p>
      <w:pPr>
        <w:spacing w:line="580" w:lineRule="exact"/>
        <w:ind w:firstLine="640" w:firstLineChars="200"/>
        <w:jc w:val="both"/>
        <w:rPr>
          <w:rFonts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作为“互联网+市场监管”的创新成果，全国12315平台将继续围绕抗疫保供恪尽职守。同时提醒广大消费者，当您遇到假冒伪劣、价格欺诈、劣质服务、虚假广告和关系到健康的食品药品等问题时，当您的消费权益受到侵害时，可以使用电脑、手机通过互联网随时随地登录平台，快速准确地找到经营者和管辖机关进行投诉举报。</w:t>
      </w:r>
    </w:p>
    <w:p>
      <w:pPr>
        <w:jc w:val="both"/>
        <w:rPr>
          <w:rFonts w:ascii="仿宋_GB2312" w:eastAsia="仿宋_GB2312"/>
          <w:bCs/>
          <w:sz w:val="32"/>
          <w:szCs w:val="32"/>
        </w:rPr>
      </w:pPr>
    </w:p>
    <w:sectPr>
      <w:headerReference r:id="rId6" w:type="first"/>
      <w:footerReference r:id="rId9" w:type="first"/>
      <w:headerReference r:id="rId4" w:type="default"/>
      <w:footerReference r:id="rId7" w:type="default"/>
      <w:headerReference r:id="rId5" w:type="even"/>
      <w:footerReference r:id="rId8" w:type="even"/>
      <w:pgSz w:w="11906" w:h="16838"/>
      <w:pgMar w:top="1440" w:right="1253" w:bottom="1440" w:left="1253" w:header="851" w:footer="992" w:gutter="0"/>
      <w:cols w:space="0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altName w:val="宋体-方正超大字符集"/>
    <w:panose1 w:val="020B0604020202020204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宋体-方正超大字符集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66899421"/>
    </w:sdtPr>
    <w:sdtContent>
      <w:p>
        <w:pPr>
          <w:pStyle w:val="5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11</w:t>
        </w:r>
        <w:r>
          <w:fldChar w:fldCharType="end"/>
        </w:r>
      </w:p>
    </w:sdtContent>
  </w:sdt>
  <w:p>
    <w:pPr>
      <w:pStyle w:val="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id="0">
    <w:p>
      <w:pPr>
        <w:pStyle w:val="7"/>
        <w:rPr>
          <w:rFonts w:ascii="楷体" w:hAnsi="楷体" w:eastAsia="楷体"/>
          <w:color w:val="FF0000"/>
        </w:rPr>
      </w:pPr>
      <w:r>
        <w:rPr>
          <w:rStyle w:val="14"/>
          <w:rFonts w:ascii="楷体" w:hAnsi="楷体" w:eastAsia="楷体"/>
        </w:rPr>
        <w:footnoteRef/>
      </w:r>
      <w:r>
        <w:rPr>
          <w:rFonts w:ascii="楷体" w:hAnsi="楷体" w:eastAsia="楷体"/>
        </w:rPr>
        <w:t xml:space="preserve"> </w:t>
      </w:r>
      <w:r>
        <w:rPr>
          <w:rFonts w:hint="eastAsia" w:ascii="楷体" w:hAnsi="楷体" w:eastAsia="楷体"/>
          <w:color w:val="FF0000"/>
        </w:rPr>
        <w:t>本报告所有“同比增长”均根据2</w:t>
      </w:r>
      <w:r>
        <w:rPr>
          <w:rFonts w:ascii="楷体" w:hAnsi="楷体" w:eastAsia="楷体"/>
          <w:color w:val="FF0000"/>
        </w:rPr>
        <w:t>019</w:t>
      </w:r>
      <w:r>
        <w:rPr>
          <w:rFonts w:hint="eastAsia" w:ascii="楷体" w:hAnsi="楷体" w:eastAsia="楷体"/>
          <w:color w:val="FF0000"/>
        </w:rPr>
        <w:t>年前三季度与2</w:t>
      </w:r>
      <w:r>
        <w:rPr>
          <w:rFonts w:ascii="楷体" w:hAnsi="楷体" w:eastAsia="楷体"/>
          <w:color w:val="FF0000"/>
        </w:rPr>
        <w:t>020</w:t>
      </w:r>
      <w:r>
        <w:rPr>
          <w:rFonts w:hint="eastAsia" w:ascii="楷体" w:hAnsi="楷体" w:eastAsia="楷体"/>
          <w:color w:val="FF0000"/>
        </w:rPr>
        <w:t>年前三季度消费者直接在1</w:t>
      </w:r>
      <w:r>
        <w:rPr>
          <w:rFonts w:ascii="楷体" w:hAnsi="楷体" w:eastAsia="楷体"/>
          <w:color w:val="FF0000"/>
        </w:rPr>
        <w:t>2315</w:t>
      </w:r>
      <w:r>
        <w:rPr>
          <w:rFonts w:hint="eastAsia" w:ascii="楷体" w:hAnsi="楷体" w:eastAsia="楷体"/>
          <w:color w:val="FF0000"/>
        </w:rPr>
        <w:t>平台填写数据统计。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 w:val="1"/>
  <w:embedSystemFonts/>
  <w:bordersDoNotSurroundHeader w:val="1"/>
  <w:bordersDoNotSurroundFooter w:val="1"/>
  <w:documentProtection w:edit="forms"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F6074A2"/>
    <w:rsid w:val="00001C7E"/>
    <w:rsid w:val="00005C3D"/>
    <w:rsid w:val="00006408"/>
    <w:rsid w:val="00012F45"/>
    <w:rsid w:val="00055FE7"/>
    <w:rsid w:val="00066839"/>
    <w:rsid w:val="00067D45"/>
    <w:rsid w:val="00077062"/>
    <w:rsid w:val="000848A8"/>
    <w:rsid w:val="00091B22"/>
    <w:rsid w:val="000B6ECB"/>
    <w:rsid w:val="000F2415"/>
    <w:rsid w:val="00111713"/>
    <w:rsid w:val="00142568"/>
    <w:rsid w:val="00156CCA"/>
    <w:rsid w:val="00162CF3"/>
    <w:rsid w:val="00165B53"/>
    <w:rsid w:val="001720BE"/>
    <w:rsid w:val="00181B24"/>
    <w:rsid w:val="00186E81"/>
    <w:rsid w:val="00192F3B"/>
    <w:rsid w:val="001B4313"/>
    <w:rsid w:val="001E0DD8"/>
    <w:rsid w:val="001E3699"/>
    <w:rsid w:val="001E5E60"/>
    <w:rsid w:val="0021616A"/>
    <w:rsid w:val="00232445"/>
    <w:rsid w:val="00237769"/>
    <w:rsid w:val="00246C51"/>
    <w:rsid w:val="002521BF"/>
    <w:rsid w:val="00276DD1"/>
    <w:rsid w:val="002921DA"/>
    <w:rsid w:val="002A11AF"/>
    <w:rsid w:val="002B0A22"/>
    <w:rsid w:val="002B64E9"/>
    <w:rsid w:val="002C2864"/>
    <w:rsid w:val="002E22D8"/>
    <w:rsid w:val="002E59B9"/>
    <w:rsid w:val="002F2261"/>
    <w:rsid w:val="0030381F"/>
    <w:rsid w:val="00305B3F"/>
    <w:rsid w:val="0032223D"/>
    <w:rsid w:val="00345F7A"/>
    <w:rsid w:val="00366069"/>
    <w:rsid w:val="00372C34"/>
    <w:rsid w:val="00386C50"/>
    <w:rsid w:val="00386D2E"/>
    <w:rsid w:val="003A533C"/>
    <w:rsid w:val="003B278D"/>
    <w:rsid w:val="003B54E8"/>
    <w:rsid w:val="003B633A"/>
    <w:rsid w:val="003C2EAF"/>
    <w:rsid w:val="003C53E6"/>
    <w:rsid w:val="003F25A9"/>
    <w:rsid w:val="00411459"/>
    <w:rsid w:val="00413E36"/>
    <w:rsid w:val="00420170"/>
    <w:rsid w:val="00430CEF"/>
    <w:rsid w:val="00445DA5"/>
    <w:rsid w:val="004509B3"/>
    <w:rsid w:val="00454CD2"/>
    <w:rsid w:val="004562AE"/>
    <w:rsid w:val="00467AC3"/>
    <w:rsid w:val="00483550"/>
    <w:rsid w:val="00484E0D"/>
    <w:rsid w:val="004858E4"/>
    <w:rsid w:val="004B24A9"/>
    <w:rsid w:val="004B4184"/>
    <w:rsid w:val="004D1E89"/>
    <w:rsid w:val="004E2F09"/>
    <w:rsid w:val="005032D7"/>
    <w:rsid w:val="00504273"/>
    <w:rsid w:val="00516AF5"/>
    <w:rsid w:val="00573FD7"/>
    <w:rsid w:val="00575013"/>
    <w:rsid w:val="00592D45"/>
    <w:rsid w:val="005B22EB"/>
    <w:rsid w:val="005D02CD"/>
    <w:rsid w:val="005D738F"/>
    <w:rsid w:val="006017CA"/>
    <w:rsid w:val="00602A1C"/>
    <w:rsid w:val="006071BC"/>
    <w:rsid w:val="00613B6D"/>
    <w:rsid w:val="006221EA"/>
    <w:rsid w:val="00622C8A"/>
    <w:rsid w:val="00653445"/>
    <w:rsid w:val="0065759C"/>
    <w:rsid w:val="006848B4"/>
    <w:rsid w:val="00685598"/>
    <w:rsid w:val="006A76E9"/>
    <w:rsid w:val="006B5B50"/>
    <w:rsid w:val="006B5CB8"/>
    <w:rsid w:val="006E081A"/>
    <w:rsid w:val="006E45D6"/>
    <w:rsid w:val="00722B10"/>
    <w:rsid w:val="007503AE"/>
    <w:rsid w:val="00755DBF"/>
    <w:rsid w:val="00756BC5"/>
    <w:rsid w:val="0077206E"/>
    <w:rsid w:val="007C3A7E"/>
    <w:rsid w:val="007D48F9"/>
    <w:rsid w:val="007E1028"/>
    <w:rsid w:val="007E542E"/>
    <w:rsid w:val="00800D65"/>
    <w:rsid w:val="008207DA"/>
    <w:rsid w:val="0082264F"/>
    <w:rsid w:val="00827791"/>
    <w:rsid w:val="00833C58"/>
    <w:rsid w:val="00854E8D"/>
    <w:rsid w:val="00857058"/>
    <w:rsid w:val="00872DE1"/>
    <w:rsid w:val="008837F6"/>
    <w:rsid w:val="008853AE"/>
    <w:rsid w:val="008908D8"/>
    <w:rsid w:val="008934C6"/>
    <w:rsid w:val="008C05EC"/>
    <w:rsid w:val="008C090A"/>
    <w:rsid w:val="008C184C"/>
    <w:rsid w:val="008C1AB7"/>
    <w:rsid w:val="008C42C7"/>
    <w:rsid w:val="008E1CEB"/>
    <w:rsid w:val="008F1D8C"/>
    <w:rsid w:val="00921014"/>
    <w:rsid w:val="0094429B"/>
    <w:rsid w:val="00950D87"/>
    <w:rsid w:val="00971D55"/>
    <w:rsid w:val="009B7CD8"/>
    <w:rsid w:val="009C6414"/>
    <w:rsid w:val="009D0C3D"/>
    <w:rsid w:val="009F2DBF"/>
    <w:rsid w:val="00A12881"/>
    <w:rsid w:val="00A13310"/>
    <w:rsid w:val="00A17D34"/>
    <w:rsid w:val="00A33B1A"/>
    <w:rsid w:val="00A5159B"/>
    <w:rsid w:val="00A601D6"/>
    <w:rsid w:val="00A75014"/>
    <w:rsid w:val="00A9433D"/>
    <w:rsid w:val="00AB5718"/>
    <w:rsid w:val="00AC208A"/>
    <w:rsid w:val="00AE7236"/>
    <w:rsid w:val="00B2265A"/>
    <w:rsid w:val="00B22AEB"/>
    <w:rsid w:val="00B3070A"/>
    <w:rsid w:val="00B36269"/>
    <w:rsid w:val="00B376AD"/>
    <w:rsid w:val="00B46F2C"/>
    <w:rsid w:val="00B502CD"/>
    <w:rsid w:val="00B5183F"/>
    <w:rsid w:val="00B71A0F"/>
    <w:rsid w:val="00B73B16"/>
    <w:rsid w:val="00B8628C"/>
    <w:rsid w:val="00BA2559"/>
    <w:rsid w:val="00BB7D79"/>
    <w:rsid w:val="00BC6288"/>
    <w:rsid w:val="00BE56AA"/>
    <w:rsid w:val="00BF501B"/>
    <w:rsid w:val="00BF59DE"/>
    <w:rsid w:val="00C07DFC"/>
    <w:rsid w:val="00C2077D"/>
    <w:rsid w:val="00C4305C"/>
    <w:rsid w:val="00C63D5D"/>
    <w:rsid w:val="00C77115"/>
    <w:rsid w:val="00C95D63"/>
    <w:rsid w:val="00CB0540"/>
    <w:rsid w:val="00CB137E"/>
    <w:rsid w:val="00CB2634"/>
    <w:rsid w:val="00CD4B61"/>
    <w:rsid w:val="00D06E38"/>
    <w:rsid w:val="00D11A5C"/>
    <w:rsid w:val="00D30599"/>
    <w:rsid w:val="00D41A6A"/>
    <w:rsid w:val="00D563B7"/>
    <w:rsid w:val="00D629E4"/>
    <w:rsid w:val="00D73D09"/>
    <w:rsid w:val="00D76BC6"/>
    <w:rsid w:val="00D80CEA"/>
    <w:rsid w:val="00D81F1E"/>
    <w:rsid w:val="00D9725B"/>
    <w:rsid w:val="00DB4F55"/>
    <w:rsid w:val="00DC43B9"/>
    <w:rsid w:val="00E06B2B"/>
    <w:rsid w:val="00E07730"/>
    <w:rsid w:val="00E11CC0"/>
    <w:rsid w:val="00E26270"/>
    <w:rsid w:val="00E62CA3"/>
    <w:rsid w:val="00E72F6E"/>
    <w:rsid w:val="00E83E13"/>
    <w:rsid w:val="00ED0CF9"/>
    <w:rsid w:val="00F2039C"/>
    <w:rsid w:val="00F25BDA"/>
    <w:rsid w:val="00F30FC8"/>
    <w:rsid w:val="00F42061"/>
    <w:rsid w:val="00F526E0"/>
    <w:rsid w:val="00F53C7A"/>
    <w:rsid w:val="00F77505"/>
    <w:rsid w:val="00F84BCC"/>
    <w:rsid w:val="00FB1674"/>
    <w:rsid w:val="00FC23B3"/>
    <w:rsid w:val="01CE0C79"/>
    <w:rsid w:val="026E381D"/>
    <w:rsid w:val="0375210F"/>
    <w:rsid w:val="045248C8"/>
    <w:rsid w:val="07CB50CE"/>
    <w:rsid w:val="08075384"/>
    <w:rsid w:val="08824887"/>
    <w:rsid w:val="0965100B"/>
    <w:rsid w:val="09873D47"/>
    <w:rsid w:val="099F2C6A"/>
    <w:rsid w:val="0BAF793D"/>
    <w:rsid w:val="0C0C0D51"/>
    <w:rsid w:val="0E666D29"/>
    <w:rsid w:val="0E876950"/>
    <w:rsid w:val="0FDF76BA"/>
    <w:rsid w:val="0FF71646"/>
    <w:rsid w:val="10F33E2B"/>
    <w:rsid w:val="114014D9"/>
    <w:rsid w:val="11954259"/>
    <w:rsid w:val="12090497"/>
    <w:rsid w:val="12404FF3"/>
    <w:rsid w:val="13A975DB"/>
    <w:rsid w:val="144C43D5"/>
    <w:rsid w:val="14930535"/>
    <w:rsid w:val="15606BA5"/>
    <w:rsid w:val="18387E17"/>
    <w:rsid w:val="1A9535B1"/>
    <w:rsid w:val="1BE12068"/>
    <w:rsid w:val="1C8B68CD"/>
    <w:rsid w:val="1CA81334"/>
    <w:rsid w:val="1CD67809"/>
    <w:rsid w:val="1DFE5758"/>
    <w:rsid w:val="1EA23C90"/>
    <w:rsid w:val="1F125363"/>
    <w:rsid w:val="202370C2"/>
    <w:rsid w:val="21CC7803"/>
    <w:rsid w:val="220F2899"/>
    <w:rsid w:val="22B1783A"/>
    <w:rsid w:val="232D2B26"/>
    <w:rsid w:val="24AD7DBF"/>
    <w:rsid w:val="26E1542B"/>
    <w:rsid w:val="279578EA"/>
    <w:rsid w:val="28121529"/>
    <w:rsid w:val="287D78CD"/>
    <w:rsid w:val="29481D6E"/>
    <w:rsid w:val="298666A8"/>
    <w:rsid w:val="2A356F24"/>
    <w:rsid w:val="2A894E6C"/>
    <w:rsid w:val="2AD25B29"/>
    <w:rsid w:val="2C0E0FF0"/>
    <w:rsid w:val="2C9719EA"/>
    <w:rsid w:val="2CC91697"/>
    <w:rsid w:val="2CF3132F"/>
    <w:rsid w:val="2D275CDB"/>
    <w:rsid w:val="2DD97890"/>
    <w:rsid w:val="2DF04928"/>
    <w:rsid w:val="2EA73935"/>
    <w:rsid w:val="2FEB4C2D"/>
    <w:rsid w:val="30231E9E"/>
    <w:rsid w:val="30F227E4"/>
    <w:rsid w:val="31342D77"/>
    <w:rsid w:val="328D4CA7"/>
    <w:rsid w:val="32F812DC"/>
    <w:rsid w:val="36232806"/>
    <w:rsid w:val="372B429E"/>
    <w:rsid w:val="373C0306"/>
    <w:rsid w:val="382D4910"/>
    <w:rsid w:val="38B60D92"/>
    <w:rsid w:val="38F85EFF"/>
    <w:rsid w:val="398A0850"/>
    <w:rsid w:val="3A7C6E01"/>
    <w:rsid w:val="3C3526B5"/>
    <w:rsid w:val="3CAC3063"/>
    <w:rsid w:val="3F2740AE"/>
    <w:rsid w:val="3F655E04"/>
    <w:rsid w:val="3FA3060B"/>
    <w:rsid w:val="40B219DC"/>
    <w:rsid w:val="4188072A"/>
    <w:rsid w:val="41BF59FA"/>
    <w:rsid w:val="41CB7EE6"/>
    <w:rsid w:val="42147B53"/>
    <w:rsid w:val="42313563"/>
    <w:rsid w:val="429235FA"/>
    <w:rsid w:val="444F2858"/>
    <w:rsid w:val="44550508"/>
    <w:rsid w:val="4542474F"/>
    <w:rsid w:val="4591523D"/>
    <w:rsid w:val="46DE552C"/>
    <w:rsid w:val="476F746F"/>
    <w:rsid w:val="488D53A6"/>
    <w:rsid w:val="49A90196"/>
    <w:rsid w:val="4A4976B0"/>
    <w:rsid w:val="4B0F2CD7"/>
    <w:rsid w:val="4BA33502"/>
    <w:rsid w:val="4C3A452D"/>
    <w:rsid w:val="50425A5F"/>
    <w:rsid w:val="5057138D"/>
    <w:rsid w:val="50E60E41"/>
    <w:rsid w:val="51512470"/>
    <w:rsid w:val="51F04775"/>
    <w:rsid w:val="54CF5DEB"/>
    <w:rsid w:val="55782F6A"/>
    <w:rsid w:val="579C7594"/>
    <w:rsid w:val="57EA0D94"/>
    <w:rsid w:val="58AB2B2B"/>
    <w:rsid w:val="58B66AD1"/>
    <w:rsid w:val="58E66DB7"/>
    <w:rsid w:val="59607EC9"/>
    <w:rsid w:val="596459BF"/>
    <w:rsid w:val="59CA3E06"/>
    <w:rsid w:val="59CC6EA6"/>
    <w:rsid w:val="59DE6DDE"/>
    <w:rsid w:val="5A05066A"/>
    <w:rsid w:val="5A463891"/>
    <w:rsid w:val="5A5931D9"/>
    <w:rsid w:val="5ADA56F0"/>
    <w:rsid w:val="5B362108"/>
    <w:rsid w:val="5BEF202B"/>
    <w:rsid w:val="5C780BAF"/>
    <w:rsid w:val="5F3C63D2"/>
    <w:rsid w:val="5F6074A2"/>
    <w:rsid w:val="5FEE4C82"/>
    <w:rsid w:val="616F70E1"/>
    <w:rsid w:val="6311029E"/>
    <w:rsid w:val="66BE728F"/>
    <w:rsid w:val="671661A0"/>
    <w:rsid w:val="67293F8B"/>
    <w:rsid w:val="67EA34D7"/>
    <w:rsid w:val="68173285"/>
    <w:rsid w:val="68E51D84"/>
    <w:rsid w:val="698F0AD0"/>
    <w:rsid w:val="69B46CA8"/>
    <w:rsid w:val="6A24176D"/>
    <w:rsid w:val="6B1D296A"/>
    <w:rsid w:val="6B501035"/>
    <w:rsid w:val="6C7E3DD2"/>
    <w:rsid w:val="6C826190"/>
    <w:rsid w:val="6C8F262B"/>
    <w:rsid w:val="6D791EE8"/>
    <w:rsid w:val="6DA069DE"/>
    <w:rsid w:val="6FFD5B04"/>
    <w:rsid w:val="704C38F1"/>
    <w:rsid w:val="722E6E2C"/>
    <w:rsid w:val="7327336B"/>
    <w:rsid w:val="738551E7"/>
    <w:rsid w:val="73E31C6B"/>
    <w:rsid w:val="74096E6C"/>
    <w:rsid w:val="746F55B1"/>
    <w:rsid w:val="74A74060"/>
    <w:rsid w:val="74BB1B1A"/>
    <w:rsid w:val="75D0586B"/>
    <w:rsid w:val="76435E49"/>
    <w:rsid w:val="78A02139"/>
    <w:rsid w:val="78C934F5"/>
    <w:rsid w:val="78E91C48"/>
    <w:rsid w:val="79292230"/>
    <w:rsid w:val="79767096"/>
    <w:rsid w:val="79A91F8D"/>
    <w:rsid w:val="7A31747A"/>
    <w:rsid w:val="7A496302"/>
    <w:rsid w:val="7D0073E2"/>
    <w:rsid w:val="7D8A53FA"/>
    <w:rsid w:val="7E033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qFormat="1" w:unhideWhenUsed="0" w:uiPriority="99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widowControl w:val="0"/>
      <w:spacing w:before="260" w:after="260" w:line="416" w:lineRule="auto"/>
      <w:ind w:firstLine="200" w:firstLineChars="200"/>
      <w:jc w:val="both"/>
      <w:outlineLvl w:val="1"/>
    </w:pPr>
    <w:rPr>
      <w:rFonts w:ascii="Cambria" w:hAnsi="Cambria" w:cs="黑体"/>
      <w:b/>
      <w:bCs/>
      <w:color w:val="000000"/>
      <w:sz w:val="32"/>
      <w:szCs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0"/>
    <w:pPr>
      <w:widowControl w:val="0"/>
      <w:ind w:firstLine="200" w:firstLineChars="200"/>
      <w:jc w:val="both"/>
    </w:pPr>
    <w:rPr>
      <w:rFonts w:hAnsi="Times New Roman" w:cs="Times New Roman"/>
      <w:color w:val="000000"/>
      <w:sz w:val="18"/>
      <w:szCs w:val="18"/>
    </w:rPr>
  </w:style>
  <w:style w:type="paragraph" w:styleId="5">
    <w:name w:val="footer"/>
    <w:basedOn w:val="1"/>
    <w:link w:val="17"/>
    <w:qFormat/>
    <w:uiPriority w:val="99"/>
    <w:pPr>
      <w:widowControl w:val="0"/>
      <w:tabs>
        <w:tab w:val="center" w:pos="4153"/>
        <w:tab w:val="right" w:pos="8306"/>
      </w:tabs>
      <w:snapToGrid w:val="0"/>
      <w:ind w:firstLine="200" w:firstLineChars="200"/>
    </w:pPr>
    <w:rPr>
      <w:rFonts w:hAnsi="Times New Roman" w:cs="Times New Roman"/>
      <w:color w:val="000000"/>
      <w:sz w:val="18"/>
      <w:szCs w:val="18"/>
    </w:rPr>
  </w:style>
  <w:style w:type="paragraph" w:styleId="6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ind w:firstLine="200" w:firstLineChars="200"/>
      <w:jc w:val="center"/>
    </w:pPr>
    <w:rPr>
      <w:rFonts w:hAnsi="Times New Roman" w:cs="Times New Roman"/>
      <w:color w:val="000000"/>
      <w:sz w:val="18"/>
      <w:szCs w:val="18"/>
    </w:rPr>
  </w:style>
  <w:style w:type="paragraph" w:styleId="7">
    <w:name w:val="footnote text"/>
    <w:basedOn w:val="1"/>
    <w:link w:val="20"/>
    <w:qFormat/>
    <w:uiPriority w:val="0"/>
    <w:pPr>
      <w:snapToGrid w:val="0"/>
    </w:pPr>
    <w:rPr>
      <w:sz w:val="18"/>
      <w:szCs w:val="18"/>
    </w:rPr>
  </w:style>
  <w:style w:type="paragraph" w:styleId="8">
    <w:name w:val="HTML Preformatted"/>
    <w:basedOn w:val="1"/>
    <w:link w:val="18"/>
    <w:qFormat/>
    <w:uiPriority w:val="99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00" w:lineRule="auto"/>
      <w:ind w:firstLine="200" w:firstLineChars="200"/>
    </w:pPr>
    <w:rPr>
      <w:rFonts w:hint="eastAsia" w:cs="Times New Roman"/>
      <w:color w:val="000000"/>
    </w:rPr>
  </w:style>
  <w:style w:type="paragraph" w:styleId="9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11">
    <w:name w:val="Table Grid"/>
    <w:basedOn w:val="10"/>
    <w:qFormat/>
    <w:uiPriority w:val="3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unhideWhenUsed/>
    <w:uiPriority w:val="99"/>
    <w:rPr>
      <w:color w:val="0000FF"/>
      <w:u w:val="single"/>
    </w:rPr>
  </w:style>
  <w:style w:type="character" w:styleId="14">
    <w:name w:val="footnote reference"/>
    <w:basedOn w:val="12"/>
    <w:qFormat/>
    <w:uiPriority w:val="0"/>
    <w:rPr>
      <w:vertAlign w:val="superscript"/>
    </w:rPr>
  </w:style>
  <w:style w:type="character" w:customStyle="1" w:styleId="15">
    <w:name w:val="批注框文本 字符"/>
    <w:basedOn w:val="12"/>
    <w:link w:val="4"/>
    <w:qFormat/>
    <w:uiPriority w:val="0"/>
    <w:rPr>
      <w:rFonts w:ascii="宋体"/>
      <w:color w:val="000000"/>
      <w:sz w:val="18"/>
      <w:szCs w:val="18"/>
    </w:rPr>
  </w:style>
  <w:style w:type="character" w:customStyle="1" w:styleId="16">
    <w:name w:val="页眉 字符"/>
    <w:basedOn w:val="12"/>
    <w:link w:val="6"/>
    <w:qFormat/>
    <w:uiPriority w:val="0"/>
    <w:rPr>
      <w:rFonts w:ascii="宋体"/>
      <w:color w:val="000000"/>
      <w:sz w:val="18"/>
      <w:szCs w:val="18"/>
    </w:rPr>
  </w:style>
  <w:style w:type="character" w:customStyle="1" w:styleId="17">
    <w:name w:val="页脚 字符"/>
    <w:basedOn w:val="12"/>
    <w:link w:val="5"/>
    <w:qFormat/>
    <w:uiPriority w:val="99"/>
    <w:rPr>
      <w:rFonts w:ascii="宋体"/>
      <w:color w:val="000000"/>
      <w:sz w:val="18"/>
      <w:szCs w:val="18"/>
    </w:rPr>
  </w:style>
  <w:style w:type="character" w:customStyle="1" w:styleId="18">
    <w:name w:val="HTML 预设格式 字符"/>
    <w:basedOn w:val="12"/>
    <w:link w:val="8"/>
    <w:qFormat/>
    <w:uiPriority w:val="99"/>
    <w:rPr>
      <w:rFonts w:ascii="宋体" w:hAnsi="宋体"/>
      <w:color w:val="000000"/>
      <w:sz w:val="24"/>
      <w:szCs w:val="24"/>
    </w:rPr>
  </w:style>
  <w:style w:type="table" w:customStyle="1" w:styleId="19">
    <w:name w:val="网格表 5 深色 - 着色 21"/>
    <w:basedOn w:val="10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character" w:customStyle="1" w:styleId="20">
    <w:name w:val="脚注文本 字符"/>
    <w:basedOn w:val="12"/>
    <w:link w:val="7"/>
    <w:qFormat/>
    <w:uiPriority w:val="0"/>
    <w:rPr>
      <w:rFonts w:ascii="宋体" w:hAnsi="宋体" w:cs="宋体"/>
      <w:sz w:val="18"/>
      <w:szCs w:val="18"/>
    </w:rPr>
  </w:style>
  <w:style w:type="table" w:customStyle="1" w:styleId="21">
    <w:name w:val="网格表 4 - 着色 11"/>
    <w:basedOn w:val="10"/>
    <w:qFormat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55614E8-A727-45F1-A977-89D1442B4CB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11</Pages>
  <Words>651</Words>
  <Characters>3711</Characters>
  <Lines>30</Lines>
  <Paragraphs>8</Paragraphs>
  <TotalTime>0</TotalTime>
  <ScaleCrop>false</ScaleCrop>
  <LinksUpToDate>false</LinksUpToDate>
  <CharactersWithSpaces>4354</CharactersWithSpaces>
  <Application>WPS Office_11.1.0.10069_F1E327BC-269C-435d-A152-05C5408002CA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2020-10-19T12:44:00Z</dcterms:created>
  <dc:creator>YuHan</dc:creator>
  <cp:lastModifiedBy>goveditor</cp:lastModifiedBy>
  <cp:lastPrinted>2020-10-08T14:45:00Z</cp:lastPrinted>
  <dcterms:modified xsi:type="dcterms:W3CDTF">2020-10-20T02:28:51Z</dcterms:modified>
  <dc:title>前三季度全国12315平台为消费者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