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kinsoku/>
        <w:wordWrap/>
        <w:overflowPunct w:val="0"/>
        <w:topLinePunct w:val="0"/>
        <w:autoSpaceDE w:val="0"/>
        <w:autoSpaceDN w:val="0"/>
        <w:bidi w:val="0"/>
        <w:adjustRightInd w:val="0"/>
        <w:spacing w:line="600" w:lineRule="exact"/>
        <w:ind w:left="0" w:leftChars="0" w:right="0" w:rightChars="0" w:firstLine="0" w:firstLineChars="0"/>
        <w:textAlignment w:val="baseline"/>
        <w:rPr>
          <w:rFonts w:hint="eastAsia" w:ascii="黑体" w:hAnsi="黑体" w:eastAsia="黑体" w:cs="黑体"/>
          <w:color w:val="000000"/>
          <w:kern w:val="0"/>
          <w:sz w:val="32"/>
          <w:szCs w:val="32"/>
          <w:highlight w:val="none"/>
          <w:lang w:val="en-US" w:eastAsia="zh-CN"/>
        </w:rPr>
      </w:pPr>
      <w:r>
        <w:rPr>
          <w:rFonts w:hint="eastAsia" w:ascii="黑体" w:hAnsi="黑体" w:eastAsia="黑体" w:cs="黑体"/>
          <w:color w:val="000000"/>
          <w:kern w:val="0"/>
          <w:sz w:val="32"/>
          <w:szCs w:val="32"/>
          <w:highlight w:val="none"/>
        </w:rPr>
        <w:t>附件</w:t>
      </w:r>
      <w:r>
        <w:rPr>
          <w:rFonts w:hint="eastAsia" w:ascii="黑体" w:hAnsi="黑体" w:eastAsia="黑体" w:cs="黑体"/>
          <w:color w:val="000000"/>
          <w:kern w:val="0"/>
          <w:sz w:val="32"/>
          <w:szCs w:val="32"/>
          <w:highlight w:val="none"/>
          <w:lang w:val="en-US" w:eastAsia="zh-CN"/>
        </w:rPr>
        <w:t>4</w:t>
      </w:r>
    </w:p>
    <w:p>
      <w:pPr>
        <w:pStyle w:val="2"/>
        <w:rPr>
          <w:rFonts w:hint="eastAsia"/>
        </w:rPr>
      </w:pPr>
    </w:p>
    <w:p>
      <w:pPr>
        <w:keepNext w:val="0"/>
        <w:keepLines w:val="0"/>
        <w:pageBreakBefore w:val="0"/>
        <w:kinsoku/>
        <w:wordWrap/>
        <w:topLinePunct w:val="0"/>
        <w:bidi w:val="0"/>
        <w:spacing w:line="600" w:lineRule="exact"/>
        <w:ind w:left="0" w:leftChars="0" w:right="0" w:rightChars="0"/>
        <w:jc w:val="center"/>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lang w:eastAsia="zh-CN"/>
        </w:rPr>
        <w:t>首届</w:t>
      </w:r>
      <w:r>
        <w:rPr>
          <w:rFonts w:hint="eastAsia" w:ascii="方正小标宋简体" w:hAnsi="方正小标宋简体" w:eastAsia="方正小标宋简体" w:cs="方正小标宋简体"/>
          <w:sz w:val="36"/>
          <w:szCs w:val="36"/>
          <w:highlight w:val="none"/>
        </w:rPr>
        <w:t>全国旅游公益广告遴选活动展播安排</w:t>
      </w:r>
    </w:p>
    <w:p>
      <w:pPr>
        <w:keepNext w:val="0"/>
        <w:keepLines w:val="0"/>
        <w:pageBreakBefore w:val="0"/>
        <w:widowControl/>
        <w:kinsoku/>
        <w:wordWrap/>
        <w:overflowPunct w:val="0"/>
        <w:topLinePunct w:val="0"/>
        <w:autoSpaceDE w:val="0"/>
        <w:autoSpaceDN w:val="0"/>
        <w:bidi w:val="0"/>
        <w:adjustRightInd w:val="0"/>
        <w:spacing w:line="600" w:lineRule="exact"/>
        <w:ind w:left="0" w:leftChars="0" w:right="0" w:rightChars="0" w:firstLine="600" w:firstLineChars="200"/>
        <w:jc w:val="both"/>
        <w:textAlignment w:val="baseline"/>
        <w:rPr>
          <w:rFonts w:ascii="仿宋_GB2312" w:hAnsi="Times New Roman" w:eastAsia="仿宋_GB2312"/>
          <w:color w:val="000000"/>
          <w:kern w:val="0"/>
          <w:sz w:val="32"/>
          <w:szCs w:val="32"/>
          <w:highlight w:val="none"/>
        </w:rPr>
      </w:pPr>
      <w:r>
        <w:rPr>
          <w:rFonts w:hint="eastAsia" w:ascii="仿宋_GB2312" w:hAnsi="Times New Roman" w:eastAsia="仿宋_GB2312"/>
          <w:color w:val="000000"/>
          <w:kern w:val="0"/>
          <w:sz w:val="32"/>
          <w:szCs w:val="32"/>
          <w:highlight w:val="none"/>
        </w:rPr>
        <w:t>为进一步扩大本次旅游公益广告遴选活动的影响力，提升宣传效果，由国家广播电视总局部署，在全国各级电台、电视台集中展播旅游公益广告，展播时间为2021年7月至2022年</w:t>
      </w:r>
      <w:r>
        <w:rPr>
          <w:rFonts w:hint="eastAsia" w:ascii="仿宋_GB2312" w:hAnsi="Times New Roman" w:eastAsia="仿宋_GB2312"/>
          <w:color w:val="000000"/>
          <w:kern w:val="0"/>
          <w:sz w:val="32"/>
          <w:szCs w:val="32"/>
          <w:highlight w:val="none"/>
          <w:lang w:val="en-US" w:eastAsia="zh-CN"/>
        </w:rPr>
        <w:t>6</w:t>
      </w:r>
      <w:r>
        <w:rPr>
          <w:rFonts w:hint="eastAsia" w:ascii="仿宋_GB2312" w:hAnsi="Times New Roman" w:eastAsia="仿宋_GB2312"/>
          <w:color w:val="000000"/>
          <w:kern w:val="0"/>
          <w:sz w:val="32"/>
          <w:szCs w:val="32"/>
          <w:highlight w:val="none"/>
        </w:rPr>
        <w:t>月。</w:t>
      </w:r>
      <w:r>
        <w:rPr>
          <w:rFonts w:ascii="仿宋_GB2312" w:hAnsi="Times New Roman" w:eastAsia="仿宋_GB2312"/>
          <w:color w:val="000000"/>
          <w:kern w:val="0"/>
          <w:sz w:val="32"/>
          <w:szCs w:val="32"/>
          <w:highlight w:val="none"/>
        </w:rPr>
        <w:t>现就有关事项通知如下：</w:t>
      </w:r>
    </w:p>
    <w:p>
      <w:pPr>
        <w:keepNext w:val="0"/>
        <w:keepLines w:val="0"/>
        <w:pageBreakBefore w:val="0"/>
        <w:widowControl/>
        <w:kinsoku/>
        <w:wordWrap/>
        <w:overflowPunct w:val="0"/>
        <w:topLinePunct w:val="0"/>
        <w:autoSpaceDE w:val="0"/>
        <w:autoSpaceDN w:val="0"/>
        <w:bidi w:val="0"/>
        <w:adjustRightInd w:val="0"/>
        <w:spacing w:line="600" w:lineRule="exact"/>
        <w:ind w:left="0" w:leftChars="0" w:right="0" w:rightChars="0" w:firstLine="640" w:firstLineChars="200"/>
        <w:jc w:val="both"/>
        <w:textAlignment w:val="baseline"/>
        <w:rPr>
          <w:rFonts w:hint="eastAsia" w:ascii="仿宋_GB2312" w:hAnsi="Times New Roman" w:eastAsia="仿宋_GB2312"/>
          <w:color w:val="000000"/>
          <w:kern w:val="0"/>
          <w:sz w:val="32"/>
          <w:szCs w:val="32"/>
          <w:highlight w:val="none"/>
        </w:rPr>
      </w:pPr>
      <w:r>
        <w:rPr>
          <w:rFonts w:hint="eastAsia" w:ascii="仿宋_GB2312" w:hAnsi="Times New Roman" w:eastAsia="仿宋_GB2312"/>
          <w:color w:val="000000"/>
          <w:kern w:val="0"/>
          <w:sz w:val="32"/>
          <w:szCs w:val="32"/>
          <w:highlight w:val="none"/>
        </w:rPr>
        <w:t>一、优秀旅游公益广告作品可从国家广播电视总局“全国优秀广播电视公益广告作品库”中下载播出</w:t>
      </w:r>
      <w:r>
        <w:rPr>
          <w:rFonts w:ascii="仿宋_GB2312" w:hAnsi="Times New Roman" w:eastAsia="仿宋_GB2312"/>
          <w:color w:val="000000"/>
          <w:kern w:val="0"/>
          <w:sz w:val="32"/>
          <w:szCs w:val="32"/>
          <w:highlight w:val="none"/>
        </w:rPr>
        <w:t>（网址：http://gy.nrta.gov.cn）</w:t>
      </w:r>
      <w:r>
        <w:rPr>
          <w:rFonts w:hint="eastAsia" w:ascii="仿宋_GB2312" w:hAnsi="Times New Roman" w:eastAsia="仿宋_GB2312"/>
          <w:color w:val="000000"/>
          <w:kern w:val="0"/>
          <w:sz w:val="32"/>
          <w:szCs w:val="32"/>
          <w:highlight w:val="none"/>
        </w:rPr>
        <w:t>。</w:t>
      </w:r>
      <w:r>
        <w:rPr>
          <w:rFonts w:ascii="仿宋_GB2312" w:hAnsi="Times New Roman" w:eastAsia="仿宋_GB2312"/>
          <w:color w:val="000000"/>
          <w:kern w:val="0"/>
          <w:sz w:val="32"/>
          <w:szCs w:val="32"/>
          <w:highlight w:val="none"/>
        </w:rPr>
        <w:t>各地作品制作完毕后可先行在本地媒体播放。优秀作品将由主办方组织在全国各级</w:t>
      </w:r>
      <w:r>
        <w:rPr>
          <w:rFonts w:hint="eastAsia" w:ascii="仿宋_GB2312" w:hAnsi="Times New Roman" w:eastAsia="仿宋_GB2312"/>
          <w:color w:val="000000"/>
          <w:kern w:val="0"/>
          <w:sz w:val="32"/>
          <w:szCs w:val="32"/>
          <w:highlight w:val="none"/>
          <w:lang w:eastAsia="zh-CN"/>
        </w:rPr>
        <w:t>播出机构</w:t>
      </w:r>
      <w:r>
        <w:rPr>
          <w:rFonts w:hint="eastAsia" w:ascii="仿宋_GB2312" w:hAnsi="Times New Roman" w:eastAsia="仿宋_GB2312"/>
          <w:color w:val="000000"/>
          <w:kern w:val="0"/>
          <w:sz w:val="32"/>
          <w:szCs w:val="32"/>
          <w:highlight w:val="none"/>
          <w:lang w:val="en-US" w:eastAsia="zh-CN"/>
        </w:rPr>
        <w:t>展播</w:t>
      </w:r>
      <w:r>
        <w:rPr>
          <w:rFonts w:hint="eastAsia" w:ascii="仿宋_GB2312" w:hAnsi="Times New Roman" w:eastAsia="仿宋_GB2312"/>
          <w:color w:val="000000"/>
          <w:kern w:val="0"/>
          <w:sz w:val="32"/>
          <w:szCs w:val="32"/>
          <w:highlight w:val="none"/>
          <w:lang w:eastAsia="zh-CN"/>
        </w:rPr>
        <w:t>，</w:t>
      </w:r>
      <w:r>
        <w:rPr>
          <w:rFonts w:hint="eastAsia" w:ascii="仿宋_GB2312" w:hAnsi="Times New Roman" w:eastAsia="仿宋_GB2312"/>
          <w:color w:val="000000"/>
          <w:kern w:val="0"/>
          <w:sz w:val="32"/>
          <w:szCs w:val="32"/>
          <w:highlight w:val="none"/>
          <w:lang w:val="en-US" w:eastAsia="zh-CN"/>
        </w:rPr>
        <w:t>并积极协调</w:t>
      </w:r>
      <w:r>
        <w:rPr>
          <w:rFonts w:hint="eastAsia" w:ascii="仿宋_GB2312" w:hAnsi="Times New Roman" w:eastAsia="仿宋_GB2312"/>
          <w:color w:val="000000"/>
          <w:kern w:val="0"/>
          <w:sz w:val="32"/>
          <w:szCs w:val="32"/>
          <w:highlight w:val="none"/>
          <w:lang w:eastAsia="zh-CN"/>
        </w:rPr>
        <w:t>新媒体</w:t>
      </w:r>
      <w:r>
        <w:rPr>
          <w:rFonts w:ascii="仿宋_GB2312" w:hAnsi="Times New Roman" w:eastAsia="仿宋_GB2312"/>
          <w:color w:val="000000"/>
          <w:kern w:val="0"/>
          <w:sz w:val="32"/>
          <w:szCs w:val="32"/>
          <w:highlight w:val="none"/>
        </w:rPr>
        <w:t>等平台集中</w:t>
      </w:r>
      <w:r>
        <w:rPr>
          <w:rFonts w:hint="eastAsia" w:ascii="仿宋_GB2312" w:hAnsi="Times New Roman" w:eastAsia="仿宋_GB2312"/>
          <w:color w:val="000000"/>
          <w:kern w:val="0"/>
          <w:sz w:val="32"/>
          <w:szCs w:val="32"/>
          <w:highlight w:val="none"/>
          <w:lang w:val="en-US" w:eastAsia="zh-CN"/>
        </w:rPr>
        <w:t>播出</w:t>
      </w:r>
      <w:r>
        <w:rPr>
          <w:rFonts w:ascii="仿宋_GB2312" w:hAnsi="Times New Roman" w:eastAsia="仿宋_GB2312"/>
          <w:color w:val="000000"/>
          <w:kern w:val="0"/>
          <w:sz w:val="32"/>
          <w:szCs w:val="32"/>
          <w:highlight w:val="none"/>
        </w:rPr>
        <w:t>。同时，鼓励各级播出机构自制旅游公益广告作品并播出。</w:t>
      </w:r>
      <w:r>
        <w:rPr>
          <w:rFonts w:hint="eastAsia" w:ascii="仿宋_GB2312" w:hAnsi="Times New Roman" w:eastAsia="仿宋_GB2312"/>
          <w:color w:val="000000"/>
          <w:kern w:val="0"/>
          <w:sz w:val="32"/>
          <w:szCs w:val="32"/>
          <w:highlight w:val="none"/>
        </w:rPr>
        <w:t>2021年7月</w:t>
      </w:r>
      <w:r>
        <w:rPr>
          <w:rFonts w:hint="eastAsia" w:ascii="仿宋_GB2312" w:hAnsi="Times New Roman" w:eastAsia="仿宋_GB2312"/>
          <w:color w:val="000000"/>
          <w:kern w:val="0"/>
          <w:sz w:val="32"/>
          <w:szCs w:val="32"/>
          <w:highlight w:val="none"/>
          <w:lang w:eastAsia="zh-CN"/>
        </w:rPr>
        <w:t>至</w:t>
      </w:r>
      <w:r>
        <w:rPr>
          <w:rFonts w:hint="eastAsia" w:ascii="仿宋_GB2312" w:hAnsi="Times New Roman" w:eastAsia="仿宋_GB2312"/>
          <w:color w:val="000000"/>
          <w:kern w:val="0"/>
          <w:sz w:val="32"/>
          <w:szCs w:val="32"/>
          <w:highlight w:val="none"/>
          <w:lang w:val="en-US" w:eastAsia="zh-CN"/>
        </w:rPr>
        <w:t>8月</w:t>
      </w:r>
      <w:r>
        <w:rPr>
          <w:rFonts w:hint="eastAsia" w:ascii="仿宋_GB2312" w:hAnsi="Times New Roman" w:eastAsia="仿宋_GB2312"/>
          <w:color w:val="000000"/>
          <w:kern w:val="0"/>
          <w:sz w:val="32"/>
          <w:szCs w:val="32"/>
          <w:highlight w:val="none"/>
        </w:rPr>
        <w:t>，各级广播电视播出机构每天播出旅游公益广告数量不少于3次，其中，黄金时段不少于1次。</w:t>
      </w:r>
    </w:p>
    <w:p>
      <w:pPr>
        <w:keepNext w:val="0"/>
        <w:keepLines w:val="0"/>
        <w:pageBreakBefore w:val="0"/>
        <w:widowControl/>
        <w:kinsoku/>
        <w:wordWrap/>
        <w:overflowPunct w:val="0"/>
        <w:topLinePunct w:val="0"/>
        <w:autoSpaceDE w:val="0"/>
        <w:autoSpaceDN w:val="0"/>
        <w:bidi w:val="0"/>
        <w:adjustRightInd w:val="0"/>
        <w:spacing w:line="600" w:lineRule="exact"/>
        <w:ind w:left="0" w:leftChars="0" w:right="0" w:rightChars="0" w:firstLine="640" w:firstLineChars="200"/>
        <w:jc w:val="both"/>
        <w:textAlignment w:val="baseline"/>
        <w:rPr>
          <w:rFonts w:hint="eastAsia" w:ascii="仿宋_GB2312" w:hAnsi="Times New Roman" w:eastAsia="仿宋_GB2312"/>
          <w:color w:val="000000"/>
          <w:kern w:val="0"/>
          <w:sz w:val="32"/>
          <w:szCs w:val="32"/>
          <w:highlight w:val="none"/>
        </w:rPr>
      </w:pPr>
      <w:r>
        <w:rPr>
          <w:rFonts w:hint="eastAsia" w:ascii="仿宋_GB2312" w:hAnsi="Times New Roman" w:eastAsia="仿宋_GB2312"/>
          <w:color w:val="000000"/>
          <w:kern w:val="0"/>
          <w:sz w:val="32"/>
          <w:szCs w:val="32"/>
          <w:highlight w:val="none"/>
        </w:rPr>
        <w:t>二、各级文化和旅游主管部门要高度重视本次旅游公益广告遴选活动作品展播工作，把旅游公益作品展播作为宣传旅游公益性功能的重要途径，加强同广播电视部门的沟通</w:t>
      </w:r>
      <w:r>
        <w:rPr>
          <w:rFonts w:hint="eastAsia" w:ascii="仿宋_GB2312" w:hAnsi="Times New Roman" w:eastAsia="仿宋_GB2312"/>
          <w:color w:val="000000"/>
          <w:kern w:val="0"/>
          <w:sz w:val="32"/>
          <w:szCs w:val="32"/>
          <w:highlight w:val="none"/>
          <w:lang w:val="en-US" w:eastAsia="zh-CN"/>
        </w:rPr>
        <w:t>衔接</w:t>
      </w:r>
      <w:r>
        <w:rPr>
          <w:rFonts w:hint="eastAsia" w:ascii="仿宋_GB2312" w:hAnsi="Times New Roman" w:eastAsia="仿宋_GB2312"/>
          <w:color w:val="000000"/>
          <w:kern w:val="0"/>
          <w:sz w:val="32"/>
          <w:szCs w:val="32"/>
          <w:highlight w:val="none"/>
        </w:rPr>
        <w:t>，努力将展播活动做好、做强、做出影响。</w:t>
      </w:r>
    </w:p>
    <w:p>
      <w:pPr>
        <w:keepNext w:val="0"/>
        <w:keepLines w:val="0"/>
        <w:pageBreakBefore w:val="0"/>
        <w:widowControl/>
        <w:kinsoku/>
        <w:wordWrap/>
        <w:overflowPunct w:val="0"/>
        <w:topLinePunct w:val="0"/>
        <w:autoSpaceDE w:val="0"/>
        <w:autoSpaceDN w:val="0"/>
        <w:bidi w:val="0"/>
        <w:adjustRightInd w:val="0"/>
        <w:spacing w:line="600" w:lineRule="exact"/>
        <w:ind w:left="0" w:leftChars="0" w:right="0" w:rightChars="0" w:firstLine="640" w:firstLineChars="200"/>
        <w:jc w:val="both"/>
        <w:textAlignment w:val="baseline"/>
        <w:rPr>
          <w:rFonts w:hint="eastAsia" w:ascii="仿宋_GB2312" w:hAnsi="Times New Roman" w:eastAsia="仿宋_GB2312"/>
          <w:color w:val="0000FF"/>
          <w:kern w:val="0"/>
          <w:sz w:val="32"/>
          <w:szCs w:val="32"/>
          <w:highlight w:val="none"/>
        </w:rPr>
      </w:pPr>
      <w:r>
        <w:rPr>
          <w:rFonts w:hint="eastAsia" w:ascii="仿宋_GB2312" w:hAnsi="Times New Roman" w:eastAsia="仿宋_GB2312"/>
          <w:color w:val="000000"/>
          <w:kern w:val="0"/>
          <w:sz w:val="32"/>
          <w:szCs w:val="32"/>
          <w:highlight w:val="none"/>
        </w:rPr>
        <w:t>三、各级文化和旅游主管部门要积极同本区域内播出机构加强合作，对参与旅游公益广告展播的机构，</w:t>
      </w:r>
      <w:r>
        <w:rPr>
          <w:rFonts w:hint="eastAsia" w:ascii="仿宋_GB2312" w:hAnsi="Times New Roman" w:eastAsia="仿宋_GB2312"/>
          <w:color w:val="000000"/>
          <w:kern w:val="0"/>
          <w:sz w:val="32"/>
          <w:szCs w:val="32"/>
          <w:highlight w:val="none"/>
          <w:lang w:eastAsia="zh-CN"/>
        </w:rPr>
        <w:t>结合本地区实际，</w:t>
      </w:r>
      <w:r>
        <w:rPr>
          <w:rFonts w:hint="eastAsia" w:ascii="仿宋_GB2312" w:hAnsi="Times New Roman" w:eastAsia="仿宋_GB2312"/>
          <w:color w:val="000000"/>
          <w:kern w:val="0"/>
          <w:sz w:val="32"/>
          <w:szCs w:val="32"/>
          <w:highlight w:val="none"/>
        </w:rPr>
        <w:t>给予适当技术、资金等方面的支持</w:t>
      </w:r>
      <w:r>
        <w:rPr>
          <w:rFonts w:hint="eastAsia" w:ascii="仿宋_GB2312" w:hAnsi="Times New Roman" w:eastAsia="仿宋_GB2312"/>
          <w:color w:val="000000"/>
          <w:kern w:val="0"/>
          <w:sz w:val="32"/>
          <w:szCs w:val="32"/>
          <w:highlight w:val="none"/>
          <w:lang w:eastAsia="zh-CN"/>
        </w:rPr>
        <w:t>，</w:t>
      </w:r>
      <w:r>
        <w:rPr>
          <w:rFonts w:hint="eastAsia" w:ascii="仿宋_GB2312" w:hAnsi="Times New Roman" w:eastAsia="仿宋_GB2312"/>
          <w:color w:val="000000"/>
          <w:kern w:val="0"/>
          <w:sz w:val="32"/>
          <w:szCs w:val="32"/>
          <w:highlight w:val="none"/>
          <w:lang w:val="en-US" w:eastAsia="zh-CN"/>
        </w:rPr>
        <w:t>并积极采用多元方式支持旅游公益广告的设计、制作、宣传、展播等工作。</w:t>
      </w:r>
    </w:p>
    <w:p>
      <w:pPr>
        <w:keepNext w:val="0"/>
        <w:keepLines w:val="0"/>
        <w:pageBreakBefore w:val="0"/>
        <w:widowControl/>
        <w:kinsoku/>
        <w:wordWrap/>
        <w:overflowPunct w:val="0"/>
        <w:topLinePunct w:val="0"/>
        <w:autoSpaceDE w:val="0"/>
        <w:autoSpaceDN w:val="0"/>
        <w:bidi w:val="0"/>
        <w:adjustRightInd w:val="0"/>
        <w:spacing w:line="600" w:lineRule="exact"/>
        <w:ind w:left="0" w:leftChars="0" w:right="0" w:rightChars="0" w:firstLine="640" w:firstLineChars="200"/>
        <w:jc w:val="both"/>
        <w:textAlignment w:val="baseline"/>
        <w:rPr>
          <w:rFonts w:hint="eastAsia" w:ascii="仿宋_GB2312" w:hAnsi="Times New Roman" w:eastAsia="仿宋_GB2312"/>
          <w:color w:val="000000"/>
          <w:kern w:val="0"/>
          <w:sz w:val="32"/>
          <w:szCs w:val="32"/>
          <w:highlight w:val="none"/>
        </w:rPr>
      </w:pPr>
      <w:r>
        <w:rPr>
          <w:rFonts w:hint="eastAsia" w:ascii="仿宋_GB2312" w:hAnsi="Times New Roman" w:eastAsia="仿宋_GB2312"/>
          <w:color w:val="000000"/>
          <w:kern w:val="0"/>
          <w:sz w:val="32"/>
          <w:szCs w:val="32"/>
          <w:highlight w:val="none"/>
          <w:lang w:eastAsia="zh-CN"/>
        </w:rPr>
        <w:t>四</w:t>
      </w:r>
      <w:r>
        <w:rPr>
          <w:rFonts w:hint="eastAsia" w:ascii="仿宋_GB2312" w:hAnsi="Times New Roman" w:eastAsia="仿宋_GB2312"/>
          <w:color w:val="000000"/>
          <w:kern w:val="0"/>
          <w:sz w:val="32"/>
          <w:szCs w:val="32"/>
          <w:highlight w:val="none"/>
        </w:rPr>
        <w:t>、各级播出机构负责旅游公益广告播出统计工作，各地文化和旅游主管部门负责公益广告播出的监测工作。旅游公益广告遴选作品展播活动结束后，各级播出机构同各地文化和旅游主管部门要认真填写《</w:t>
      </w:r>
      <w:r>
        <w:rPr>
          <w:rFonts w:hint="eastAsia" w:ascii="仿宋_GB2312" w:hAnsi="Times New Roman" w:eastAsia="仿宋_GB2312"/>
          <w:color w:val="000000"/>
          <w:kern w:val="0"/>
          <w:sz w:val="32"/>
          <w:szCs w:val="32"/>
          <w:highlight w:val="none"/>
          <w:lang w:val="en-US" w:eastAsia="zh-CN"/>
        </w:rPr>
        <w:t>首届全国</w:t>
      </w:r>
      <w:r>
        <w:rPr>
          <w:rFonts w:hint="eastAsia" w:ascii="仿宋_GB2312" w:hAnsi="Times New Roman" w:eastAsia="仿宋_GB2312"/>
          <w:color w:val="000000"/>
          <w:kern w:val="0"/>
          <w:sz w:val="32"/>
          <w:szCs w:val="32"/>
          <w:highlight w:val="none"/>
        </w:rPr>
        <w:t>旅游公益广告展播情况统计表》（</w:t>
      </w:r>
      <w:r>
        <w:rPr>
          <w:rFonts w:hint="eastAsia" w:ascii="仿宋_GB2312" w:hAnsi="Times New Roman" w:eastAsia="仿宋_GB2312"/>
          <w:color w:val="000000"/>
          <w:kern w:val="0"/>
          <w:sz w:val="32"/>
          <w:szCs w:val="32"/>
          <w:highlight w:val="none"/>
          <w:lang w:eastAsia="zh-CN"/>
        </w:rPr>
        <w:t>见</w:t>
      </w:r>
      <w:r>
        <w:rPr>
          <w:rFonts w:hint="eastAsia" w:ascii="仿宋_GB2312" w:hAnsi="Times New Roman" w:eastAsia="仿宋_GB2312"/>
          <w:color w:val="000000"/>
          <w:kern w:val="0"/>
          <w:sz w:val="32"/>
          <w:szCs w:val="32"/>
          <w:highlight w:val="none"/>
        </w:rPr>
        <w:t>附件</w:t>
      </w:r>
      <w:r>
        <w:rPr>
          <w:rFonts w:hint="eastAsia" w:ascii="仿宋_GB2312" w:hAnsi="Times New Roman" w:eastAsia="仿宋_GB2312"/>
          <w:color w:val="000000"/>
          <w:kern w:val="0"/>
          <w:sz w:val="32"/>
          <w:szCs w:val="32"/>
          <w:highlight w:val="none"/>
          <w:lang w:val="en-US" w:eastAsia="zh-CN"/>
        </w:rPr>
        <w:t>5</w:t>
      </w:r>
      <w:r>
        <w:rPr>
          <w:rFonts w:hint="eastAsia" w:ascii="仿宋_GB2312" w:hAnsi="Times New Roman" w:eastAsia="仿宋_GB2312"/>
          <w:color w:val="000000"/>
          <w:kern w:val="0"/>
          <w:sz w:val="32"/>
          <w:szCs w:val="32"/>
          <w:highlight w:val="none"/>
        </w:rPr>
        <w:t>），经双方签字盖章确认后报省级文化和旅游主管部门。省级部门在汇总统计后，于2022年8月15日前将统计结果报送至文化和旅游部。</w:t>
      </w:r>
    </w:p>
    <w:p>
      <w:pPr>
        <w:pStyle w:val="2"/>
        <w:keepNext w:val="0"/>
        <w:keepLines w:val="0"/>
        <w:pageBreakBefore w:val="0"/>
        <w:kinsoku/>
        <w:wordWrap/>
        <w:topLinePunct w:val="0"/>
        <w:bidi w:val="0"/>
        <w:spacing w:after="0" w:afterLines="0" w:line="600" w:lineRule="exact"/>
        <w:ind w:left="0" w:leftChars="0" w:right="0" w:rightChars="0"/>
        <w:jc w:val="both"/>
        <w:rPr>
          <w:rFonts w:hint="eastAsia"/>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文化和旅游部联系人：</w:t>
      </w:r>
      <w:r>
        <w:rPr>
          <w:rFonts w:hint="eastAsia" w:ascii="仿宋_GB2312" w:hAnsi="仿宋_GB2312" w:eastAsia="仿宋_GB2312" w:cs="仿宋_GB2312"/>
          <w:sz w:val="32"/>
          <w:szCs w:val="32"/>
          <w:highlight w:val="none"/>
          <w:lang w:eastAsia="zh-CN"/>
        </w:rPr>
        <w:t>葛婕</w:t>
      </w:r>
      <w:r>
        <w:rPr>
          <w:rFonts w:hint="eastAsia" w:ascii="仿宋_GB2312" w:hAnsi="仿宋_GB2312" w:eastAsia="仿宋_GB2312" w:cs="仿宋_GB2312"/>
          <w:sz w:val="32"/>
          <w:szCs w:val="32"/>
          <w:highlight w:val="none"/>
        </w:rPr>
        <w:t>、罗筱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Times New Roman" w:eastAsia="仿宋_GB2312"/>
          <w:color w:val="000000"/>
          <w:sz w:val="32"/>
          <w:szCs w:val="32"/>
          <w:highlight w:val="none"/>
        </w:rPr>
      </w:pPr>
      <w:r>
        <w:rPr>
          <w:rFonts w:hint="eastAsia" w:ascii="仿宋_GB2312" w:hAnsi="仿宋_GB2312" w:eastAsia="仿宋_GB2312" w:cs="仿宋_GB2312"/>
          <w:sz w:val="32"/>
          <w:szCs w:val="32"/>
          <w:highlight w:val="none"/>
        </w:rPr>
        <w:t>电话：010-59882090</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2092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Times New Roman" w:eastAsia="仿宋_GB2312"/>
          <w:color w:val="000000"/>
          <w:sz w:val="32"/>
          <w:szCs w:val="32"/>
          <w:highlight w:val="none"/>
        </w:rPr>
      </w:pPr>
      <w:r>
        <w:rPr>
          <w:rFonts w:hint="eastAsia" w:ascii="仿宋_GB2312" w:hAnsi="Times New Roman" w:eastAsia="仿宋_GB2312"/>
          <w:color w:val="000000"/>
          <w:sz w:val="32"/>
          <w:szCs w:val="32"/>
          <w:highlight w:val="none"/>
        </w:rPr>
        <w:t>国家广播电视总局联系人：尹航</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pPr>
      <w:r>
        <w:rPr>
          <w:rFonts w:hint="eastAsia" w:ascii="仿宋_GB2312" w:hAnsi="Times New Roman" w:eastAsia="仿宋_GB2312"/>
          <w:color w:val="000000"/>
          <w:sz w:val="32"/>
          <w:szCs w:val="32"/>
          <w:highlight w:val="none"/>
        </w:rPr>
        <w:t>电话010-86097013</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ejaVu Sans">
    <w:altName w:val="Segoe Print"/>
    <w:panose1 w:val="020B0603030804020204"/>
    <w:charset w:val="00"/>
    <w:family w:val="decorative"/>
    <w:pitch w:val="default"/>
    <w:sig w:usb0="00000000" w:usb1="00000000" w:usb2="0A246029" w:usb3="0400200C" w:csb0="600001FF" w:csb1="DFFF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00"/>
    <w:family w:val="auto"/>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微软雅黑">
    <w:panose1 w:val="020B0503020204020204"/>
    <w:charset w:val="86"/>
    <w:family w:val="modern"/>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方正黑体">
    <w:altName w:val="黑体"/>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roma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方正宋体S-超大字符集">
    <w:altName w:val="宋体"/>
    <w:panose1 w:val="02000000000000000000"/>
    <w:charset w:val="86"/>
    <w:family w:val="auto"/>
    <w:pitch w:val="default"/>
    <w:sig w:usb0="00000000" w:usb1="00000000" w:usb2="00000000" w:usb3="00000000" w:csb0="00040000" w:csb1="00000000"/>
  </w:font>
  <w:font w:name="方正黑体简体">
    <w:altName w:val="微软雅黑"/>
    <w:panose1 w:val="02000000000000000000"/>
    <w:charset w:val="86"/>
    <w:family w:val="auto"/>
    <w:pitch w:val="default"/>
    <w:sig w:usb0="00000000" w:usb1="00000000" w:usb2="00000000" w:usb3="00000000" w:csb0="00040000" w:csb1="00000000"/>
  </w:font>
  <w:font w:name="思源黑体 CN">
    <w:altName w:val="黑体"/>
    <w:panose1 w:val="020B0600000000000000"/>
    <w:charset w:val="86"/>
    <w:family w:val="auto"/>
    <w:pitch w:val="default"/>
    <w:sig w:usb0="00000000" w:usb1="00000000" w:usb2="00000016" w:usb3="00000000" w:csb0="60060107"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DejaVu Sans">
    <w:altName w:val="Segoe Print"/>
    <w:panose1 w:val="020B0603030804020204"/>
    <w:charset w:val="00"/>
    <w:family w:val="swiss"/>
    <w:pitch w:val="default"/>
    <w:sig w:usb0="00000000" w:usb1="00000000" w:usb2="0A246029" w:usb3="0400200C" w:csb0="600001FF" w:csb1="DFFF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decorative"/>
    <w:pitch w:val="default"/>
    <w:sig w:usb0="80000287" w:usb1="280F3C52" w:usb2="00000016" w:usb3="00000000" w:csb0="0004001F" w:csb1="00000000"/>
  </w:font>
  <w:font w:name="仿宋">
    <w:panose1 w:val="02010609060101010101"/>
    <w:charset w:val="86"/>
    <w:family w:val="swiss"/>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decorative"/>
    <w:pitch w:val="default"/>
    <w:sig w:usb0="800002BF" w:usb1="38CF7CFA" w:usb2="00000016" w:usb3="00000000" w:csb0="00040001" w:csb1="00000000"/>
  </w:font>
  <w:font w:name="DejaVu Sans">
    <w:altName w:val="Segoe Print"/>
    <w:panose1 w:val="020B0603030804020204"/>
    <w:charset w:val="00"/>
    <w:family w:val="modern"/>
    <w:pitch w:val="default"/>
    <w:sig w:usb0="00000000" w:usb1="00000000" w:usb2="0A246029" w:usb3="0400200C" w:csb0="600001FF" w:csb1="DFFF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DejaVu Sans">
    <w:altName w:val="Segoe Print"/>
    <w:panose1 w:val="020B0603030804020204"/>
    <w:charset w:val="00"/>
    <w:family w:val="roman"/>
    <w:pitch w:val="default"/>
    <w:sig w:usb0="00000000" w:usb1="00000000" w:usb2="0A246029" w:usb3="0400200C" w:csb0="600001FF" w:csb1="DFFF0000"/>
  </w:font>
  <w:font w:name="Segoe Print">
    <w:panose1 w:val="02000600000000000000"/>
    <w:charset w:val="00"/>
    <w:family w:val="decorative"/>
    <w:pitch w:val="default"/>
    <w:sig w:usb0="0000028F" w:usb1="00000000" w:usb2="00000000" w:usb3="00000000" w:csb0="2000009F" w:csb1="47010000"/>
  </w:font>
  <w:font w:name="Segoe Print">
    <w:panose1 w:val="02000600000000000000"/>
    <w:charset w:val="00"/>
    <w:family w:val="roman"/>
    <w:pitch w:val="default"/>
    <w:sig w:usb0="0000028F" w:usb1="00000000" w:usb2="00000000" w:usb3="00000000" w:csb0="2000009F" w:csb1="47010000"/>
  </w:font>
  <w:font w:name="Segoe Print">
    <w:panose1 w:val="02000600000000000000"/>
    <w:charset w:val="00"/>
    <w:family w:val="modern"/>
    <w:pitch w:val="default"/>
    <w:sig w:usb0="0000028F" w:usb1="00000000" w:usb2="00000000" w:usb3="00000000" w:csb0="2000009F" w:csb1="47010000"/>
  </w:font>
  <w:font w:name="Segoe Print">
    <w:panose1 w:val="02000600000000000000"/>
    <w:charset w:val="00"/>
    <w:family w:val="swiss"/>
    <w:pitch w:val="default"/>
    <w:sig w:usb0="0000028F" w:usb1="00000000" w:usb2="00000000" w:usb3="00000000" w:csb0="2000009F" w:csb1="4701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3F2848"/>
    <w:rsid w:val="3C3F284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cs="黑体" w:eastAsiaTheme="minorEastAsia"/>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afterLines="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2021-04-13T00:43:00Z</dcterms:created>
  <dc:creator>Administrator</dc:creator>
  <cp:lastModifiedBy>Administrator</cp:lastModifiedBy>
  <dcterms:modified xsi:type="dcterms:W3CDTF">2021-04-13T00:43:37Z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