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spacing w:line="600" w:lineRule="exact"/>
        <w:ind w:left="0" w:leftChars="0" w:right="0" w:rightChars="0"/>
        <w:jc w:val="both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600" w:lineRule="exact"/>
        <w:ind w:left="0" w:leftChars="0" w:right="0" w:rightChars="0"/>
        <w:jc w:val="both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40" w:lineRule="auto"/>
        <w:ind w:left="0" w:leftChars="0" w:right="0" w:rightChars="0"/>
        <w:jc w:val="center"/>
        <w:rPr>
          <w:rFonts w:hint="eastAsia" w:ascii="华文中宋" w:hAnsi="华文中宋" w:eastAsia="华文中宋" w:cs="宋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首届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旅游公益广告遴选办法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本次全国旅游公益广告作品遴选工作由文化和旅游部、国家广播电视总局统一组织部署，采取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  <w:t>组织专家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审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val="en-US" w:eastAsia="zh-CN"/>
        </w:rPr>
        <w:t>定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的方式，坚持公平、公正、公开原则，通过竞争择优的方式确定优秀作品名单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  <w:t>，并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val="en-US" w:eastAsia="zh-CN"/>
        </w:rPr>
        <w:t>遴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  <w:t>选出优秀组织机构和优秀展播机构。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hAnsi="黑体" w:eastAsia="黑体" w:cs="Times New Roman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highlight w:val="none"/>
        </w:rPr>
        <w:t>一、项目设置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楷体_GB2312" w:hAnsi="楷体_GB2312" w:eastAsia="楷体_GB2312" w:cs="楷体_GB2312"/>
          <w:b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kern w:val="0"/>
          <w:sz w:val="32"/>
          <w:szCs w:val="32"/>
          <w:highlight w:val="none"/>
          <w:lang w:eastAsia="zh-CN"/>
        </w:rPr>
        <w:t>（一）作品遴选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" w:eastAsia="仿宋_GB2312" w:cs="Times New Roman"/>
          <w:b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Times New Roman"/>
          <w:b w:val="0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仿宋" w:eastAsia="仿宋_GB2312" w:cs="Times New Roman"/>
          <w:b w:val="0"/>
          <w:kern w:val="0"/>
          <w:sz w:val="32"/>
          <w:szCs w:val="32"/>
          <w:highlight w:val="none"/>
          <w:lang w:eastAsia="zh-CN"/>
        </w:rPr>
        <w:t>.广播、电视优秀作品若干。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" w:eastAsia="仿宋_GB2312" w:cs="Times New Roman"/>
          <w:b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Times New Roman"/>
          <w:b w:val="0"/>
          <w:kern w:val="0"/>
          <w:sz w:val="32"/>
          <w:szCs w:val="32"/>
          <w:highlight w:val="none"/>
          <w:lang w:eastAsia="zh-CN"/>
        </w:rPr>
        <w:t>2.脚本优秀作品若干。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楷体_GB2312" w:hAnsi="楷体_GB2312" w:eastAsia="楷体_GB2312" w:cs="楷体_GB2312"/>
          <w:b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kern w:val="0"/>
          <w:sz w:val="32"/>
          <w:szCs w:val="32"/>
          <w:highlight w:val="none"/>
          <w:lang w:eastAsia="zh-CN"/>
        </w:rPr>
        <w:t>（二）机构申报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" w:eastAsia="仿宋_GB2312" w:cs="Times New Roman"/>
          <w:b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Times New Roman"/>
          <w:b w:val="0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" w:eastAsia="仿宋_GB2312" w:cs="Times New Roman"/>
          <w:b w:val="0"/>
          <w:kern w:val="0"/>
          <w:sz w:val="32"/>
          <w:szCs w:val="32"/>
          <w:highlight w:val="none"/>
          <w:lang w:eastAsia="zh-CN"/>
        </w:rPr>
        <w:t>优秀组织</w:t>
      </w:r>
      <w:r>
        <w:rPr>
          <w:rFonts w:hint="eastAsia" w:ascii="仿宋_GB2312" w:hAnsi="仿宋" w:eastAsia="仿宋_GB2312" w:cs="Times New Roman"/>
          <w:b w:val="0"/>
          <w:kern w:val="0"/>
          <w:sz w:val="32"/>
          <w:szCs w:val="32"/>
          <w:highlight w:val="none"/>
          <w:lang w:val="en-US" w:eastAsia="zh-CN"/>
        </w:rPr>
        <w:t>机构</w:t>
      </w:r>
      <w:r>
        <w:rPr>
          <w:rFonts w:hint="eastAsia" w:ascii="仿宋_GB2312" w:hAnsi="仿宋" w:eastAsia="仿宋_GB2312" w:cs="Times New Roman"/>
          <w:b w:val="0"/>
          <w:kern w:val="0"/>
          <w:sz w:val="32"/>
          <w:szCs w:val="32"/>
          <w:highlight w:val="none"/>
          <w:lang w:eastAsia="zh-CN"/>
        </w:rPr>
        <w:t>若干。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" w:eastAsia="仿宋_GB2312" w:cs="Times New Roman"/>
          <w:b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Times New Roman"/>
          <w:b w:val="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b w:val="0"/>
          <w:kern w:val="0"/>
          <w:sz w:val="32"/>
          <w:szCs w:val="32"/>
          <w:highlight w:val="none"/>
          <w:lang w:eastAsia="zh-CN"/>
        </w:rPr>
        <w:t>.优秀展播机构若干。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方正黑体" w:hAnsi="方正黑体" w:eastAsia="方正黑体" w:cs="方正黑体"/>
          <w:b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" w:hAnsi="方正黑体" w:eastAsia="方正黑体" w:cs="方正黑体"/>
          <w:b w:val="0"/>
          <w:kern w:val="0"/>
          <w:sz w:val="32"/>
          <w:szCs w:val="32"/>
          <w:highlight w:val="none"/>
          <w:lang w:eastAsia="zh-CN"/>
        </w:rPr>
        <w:t>二、</w:t>
      </w:r>
      <w:r>
        <w:rPr>
          <w:rFonts w:hint="eastAsia" w:ascii="黑体" w:hAnsi="黑体" w:eastAsia="黑体" w:cs="Times New Roman"/>
          <w:kern w:val="0"/>
          <w:sz w:val="32"/>
          <w:szCs w:val="32"/>
          <w:highlight w:val="none"/>
          <w:lang w:val="en-US" w:eastAsia="zh-CN"/>
        </w:rPr>
        <w:t>遴选</w:t>
      </w:r>
      <w:r>
        <w:rPr>
          <w:rFonts w:hint="eastAsia" w:ascii="黑体" w:hAnsi="黑体" w:eastAsia="黑体" w:cs="Times New Roman"/>
          <w:kern w:val="0"/>
          <w:sz w:val="32"/>
          <w:szCs w:val="32"/>
          <w:highlight w:val="none"/>
          <w:lang w:eastAsia="zh-CN"/>
        </w:rPr>
        <w:t>安排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本次遴选活动分为作品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  <w:t>遴选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和优秀组织机构、优秀展播机构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val="en-US" w:eastAsia="zh-CN"/>
        </w:rPr>
        <w:t>遴选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两个部分。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楷体_GB2312" w:hAnsi="楷体_GB2312" w:eastAsia="楷体_GB2312" w:cs="楷体_GB2312"/>
          <w:b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kern w:val="0"/>
          <w:sz w:val="32"/>
          <w:szCs w:val="32"/>
          <w:highlight w:val="none"/>
          <w:lang w:eastAsia="zh-CN"/>
        </w:rPr>
        <w:t>（一）作品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  <w:t>遴选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分为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  <w:t>初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val="en-US" w:eastAsia="zh-CN"/>
        </w:rPr>
        <w:t>选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  <w:t>、复审和终审三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个阶段进行。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1.初选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val="en-US" w:eastAsia="zh-CN"/>
        </w:rPr>
        <w:t>（2021年5月20日至5月31日）：各省级文化和旅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/>
        <w:jc w:val="both"/>
        <w:textAlignment w:val="baseline"/>
        <w:outlineLvl w:val="9"/>
        <w:rPr>
          <w:rFonts w:hint="default" w:ascii="仿宋_GB2312" w:hAnsi="仿宋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val="en-US" w:eastAsia="zh-CN"/>
        </w:rPr>
        <w:t>游主管部门会同广播电视主管部门对辖区内报送的作品进行初审。中央单位对本单位及直属单位报送作品进行初审。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2" w:firstLineChars="200"/>
        <w:jc w:val="both"/>
        <w:textAlignment w:val="baseline"/>
        <w:outlineLvl w:val="9"/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b/>
          <w:bCs/>
          <w:kern w:val="0"/>
          <w:sz w:val="32"/>
          <w:szCs w:val="32"/>
          <w:highlight w:val="none"/>
        </w:rPr>
        <w:t>.</w:t>
      </w:r>
      <w:r>
        <w:rPr>
          <w:rFonts w:hint="eastAsia" w:ascii="仿宋_GB2312" w:hAnsi="仿宋" w:eastAsia="仿宋_GB2312" w:cs="Times New Roman"/>
          <w:b/>
          <w:bCs/>
          <w:kern w:val="0"/>
          <w:sz w:val="32"/>
          <w:szCs w:val="32"/>
          <w:highlight w:val="none"/>
          <w:lang w:eastAsia="zh-CN"/>
        </w:rPr>
        <w:t>复审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（2021年6月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日至6月1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日）：组织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  <w:t>专业人员对各省（区、市）和中央单位提交的通过初审的作品进行复审，选择一定数量作品进入终审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2" w:firstLineChars="200"/>
        <w:jc w:val="both"/>
        <w:textAlignment w:val="baseline"/>
        <w:outlineLvl w:val="9"/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</w:rPr>
        <w:t>.终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  <w:lang w:eastAsia="zh-CN"/>
        </w:rPr>
        <w:t>审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（2021年6月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日至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日）：组织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  <w:t>文化和旅游、广播电视、广告等方面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专家评委进行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  <w:t>终审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  <w:t>确定优秀作品名单，公示后公布。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2" w:firstLineChars="200"/>
        <w:jc w:val="both"/>
        <w:textAlignment w:val="baseline"/>
        <w:outlineLvl w:val="9"/>
        <w:rPr>
          <w:rFonts w:hint="eastAsia" w:ascii="楷体" w:hAnsi="楷体" w:eastAsia="楷体" w:cs="楷体"/>
          <w:b w:val="0"/>
          <w:bCs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/>
          <w:kern w:val="0"/>
          <w:sz w:val="32"/>
          <w:szCs w:val="32"/>
          <w:highlight w:val="none"/>
        </w:rPr>
        <w:t>（二）优秀组织机构、优秀展播机构</w:t>
      </w:r>
      <w:r>
        <w:rPr>
          <w:rFonts w:hint="eastAsia" w:ascii="楷体" w:hAnsi="楷体" w:eastAsia="楷体" w:cs="楷体"/>
          <w:b w:val="0"/>
          <w:bCs/>
          <w:kern w:val="0"/>
          <w:sz w:val="32"/>
          <w:szCs w:val="32"/>
          <w:highlight w:val="none"/>
          <w:lang w:val="en-US" w:eastAsia="zh-CN"/>
        </w:rPr>
        <w:t>遴选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优秀组织机构将根据作品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  <w:t>宣传、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组织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  <w:t>、创作、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val="en-US" w:eastAsia="zh-CN"/>
        </w:rPr>
        <w:t>遴选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  <w:t>等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情况，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  <w:t>组织专家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进行综合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val="en-US" w:eastAsia="zh-CN"/>
        </w:rPr>
        <w:t>选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定。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优秀展播机构将根据公益广告作品播放次数、时长、时段、覆盖范围、宣传效应等情况，旅游公益广告遴选活动宣传力度，以及本台新闻专题等其他节目形式配合旅游宣传工作等情况，由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  <w:t>活动组织方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在展播期后进行综合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  <w:t>确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定。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hAnsi="黑体" w:eastAsia="黑体" w:cs="Times New Roman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highlight w:val="none"/>
        </w:rPr>
        <w:t>三、作品使用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（一）获得本次公益广告作品遴选活动的优秀作品将在全国各级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  <w:t>播出机构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集中进行展播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val="en-US" w:eastAsia="zh-CN"/>
        </w:rPr>
        <w:t>并积极协调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  <w:t>新媒体等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平台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val="en-US" w:eastAsia="zh-CN"/>
        </w:rPr>
        <w:t>播出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（二）全部优秀作品将纳入国家广播电视总局“优秀公益广告作品库”，供全国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  <w:t>各级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播出机构下载播出。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（三）优秀作品将在旅游系统各级官方网站、微信平台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  <w:t>等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展播。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hAnsi="黑体" w:eastAsia="黑体" w:cs="Times New Roman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highlight w:val="none"/>
        </w:rPr>
        <w:t>四、相关要求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（一）参加本次遴选活动的作品必须由作者本人参与创作（合作作者可联名参加），作者应确认拥有其作品的著作权，如因此引起任何相关法律纠纷，由作者本人承担法律责任。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（二）作者应保证送选作品将不会涉及肖像权、名誉权、隐私权、著作权、商标权等法律纠纷，否则由作者本人承担法律责任。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（三）本次遴选活动拒绝任何可能与国家法律法规相抵触的作品。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（四）除非特别申明，送选作品可被主办单位无偿用于与本次遴选活动相关的宣传活动；主办单位拥有将获扶持作品出版音像制品的优先权利。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（五）活动规则最终解释权归主办单位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highlight w:val="none"/>
        </w:rPr>
        <w:t>凡递交作品，即视为同意上述法律问题说明。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decorative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思源黑体 CN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jaVu Sans">
    <w:altName w:val="Segoe Print"/>
    <w:panose1 w:val="020B0603030804020204"/>
    <w:charset w:val="00"/>
    <w:family w:val="swiss"/>
    <w:pitch w:val="default"/>
    <w:sig w:usb0="00000000" w:usb1="00000000" w:usb2="0A246029" w:usb3="0400200C" w:csb0="600001FF" w:csb1="D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modern"/>
    <w:pitch w:val="default"/>
    <w:sig w:usb0="00000000" w:usb1="00000000" w:usb2="0A246029" w:usb3="0400200C" w:csb0="600001FF" w:csb1="D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roman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modern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427CF"/>
    <w:rsid w:val="2AC427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2021-04-13T00:42:00Z</dcterms:created>
  <dc:creator>Administrator</dc:creator>
  <cp:lastModifiedBy>Administrator</cp:lastModifiedBy>
  <dcterms:modified xsi:type="dcterms:W3CDTF">2021-04-13T00:42:59Z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