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053" w:rsidRDefault="008D0053" w:rsidP="008D0053">
      <w:pPr>
        <w:spacing w:line="560" w:lineRule="exact"/>
        <w:rPr>
          <w:rFonts w:ascii="黑体" w:eastAsia="黑体" w:hint="eastAsia"/>
          <w:bCs/>
          <w:sz w:val="32"/>
          <w:szCs w:val="32"/>
        </w:rPr>
      </w:pPr>
      <w:r>
        <w:rPr>
          <w:rFonts w:ascii="黑体" w:eastAsia="黑体" w:hint="eastAsia"/>
          <w:bCs/>
          <w:sz w:val="32"/>
          <w:szCs w:val="32"/>
        </w:rPr>
        <w:t>附件1</w:t>
      </w:r>
    </w:p>
    <w:p w:rsidR="008D0053" w:rsidRDefault="008D0053" w:rsidP="008D0053">
      <w:pPr>
        <w:spacing w:line="560" w:lineRule="exact"/>
        <w:rPr>
          <w:rFonts w:ascii="黑体" w:eastAsia="黑体" w:hint="eastAsia"/>
          <w:bCs/>
          <w:sz w:val="32"/>
          <w:szCs w:val="32"/>
        </w:rPr>
      </w:pPr>
    </w:p>
    <w:p w:rsidR="008D0053" w:rsidRDefault="008D0053" w:rsidP="008D0053">
      <w:pPr>
        <w:spacing w:beforeLines="60" w:afterLines="60" w:line="560" w:lineRule="exact"/>
        <w:jc w:val="center"/>
        <w:rPr>
          <w:rFonts w:ascii="仿宋_GB2312" w:eastAsia="仿宋_GB2312" w:hint="eastAsia"/>
          <w:sz w:val="36"/>
          <w:szCs w:val="36"/>
        </w:rPr>
      </w:pPr>
      <w:r>
        <w:rPr>
          <w:rFonts w:ascii="方正大标宋简体" w:eastAsia="方正大标宋简体" w:hAnsi="方正大标宋简体" w:cs="方正大标宋简体" w:hint="eastAsia"/>
          <w:sz w:val="36"/>
          <w:szCs w:val="36"/>
        </w:rPr>
        <w:t>省人民政府决定取消和部分取消的行政许可项目目录（3项）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2"/>
        <w:gridCol w:w="1436"/>
        <w:gridCol w:w="3600"/>
        <w:gridCol w:w="1800"/>
        <w:gridCol w:w="1620"/>
      </w:tblGrid>
      <w:tr w:rsidR="008D0053" w:rsidTr="00E80022">
        <w:trPr>
          <w:trHeight w:val="409"/>
        </w:trPr>
        <w:tc>
          <w:tcPr>
            <w:tcW w:w="652" w:type="dxa"/>
            <w:vAlign w:val="center"/>
          </w:tcPr>
          <w:p w:rsidR="008D0053" w:rsidRDefault="008D0053" w:rsidP="00E80022">
            <w:pPr>
              <w:spacing w:line="280" w:lineRule="exact"/>
              <w:jc w:val="center"/>
              <w:rPr>
                <w:rFonts w:ascii="黑体" w:eastAsia="黑体" w:hAnsi="黑体" w:cs="黑体" w:hint="eastAsia"/>
                <w:szCs w:val="21"/>
              </w:rPr>
            </w:pPr>
            <w:r>
              <w:rPr>
                <w:rFonts w:ascii="黑体" w:eastAsia="黑体" w:hAnsi="黑体" w:cs="黑体" w:hint="eastAsia"/>
                <w:szCs w:val="21"/>
              </w:rPr>
              <w:t>序号</w:t>
            </w:r>
          </w:p>
        </w:tc>
        <w:tc>
          <w:tcPr>
            <w:tcW w:w="1436" w:type="dxa"/>
            <w:vAlign w:val="center"/>
          </w:tcPr>
          <w:p w:rsidR="008D0053" w:rsidRDefault="008D0053" w:rsidP="00E80022">
            <w:pPr>
              <w:spacing w:line="280" w:lineRule="exact"/>
              <w:jc w:val="center"/>
              <w:rPr>
                <w:rFonts w:ascii="黑体" w:eastAsia="黑体" w:hAnsi="黑体" w:cs="黑体" w:hint="eastAsia"/>
                <w:szCs w:val="21"/>
              </w:rPr>
            </w:pPr>
            <w:r>
              <w:rPr>
                <w:rFonts w:ascii="黑体" w:eastAsia="黑体" w:hAnsi="黑体" w:cs="黑体" w:hint="eastAsia"/>
                <w:szCs w:val="21"/>
              </w:rPr>
              <w:t>项目名称</w:t>
            </w:r>
          </w:p>
        </w:tc>
        <w:tc>
          <w:tcPr>
            <w:tcW w:w="3600" w:type="dxa"/>
            <w:vAlign w:val="center"/>
          </w:tcPr>
          <w:p w:rsidR="008D0053" w:rsidRDefault="008D0053" w:rsidP="00E80022">
            <w:pPr>
              <w:spacing w:line="280" w:lineRule="exact"/>
              <w:jc w:val="center"/>
              <w:rPr>
                <w:rFonts w:ascii="黑体" w:eastAsia="黑体" w:hAnsi="黑体" w:cs="黑体" w:hint="eastAsia"/>
                <w:szCs w:val="21"/>
              </w:rPr>
            </w:pPr>
            <w:r>
              <w:rPr>
                <w:rFonts w:ascii="黑体" w:eastAsia="黑体" w:hAnsi="黑体" w:cs="黑体" w:hint="eastAsia"/>
                <w:szCs w:val="21"/>
              </w:rPr>
              <w:t>取消依据</w:t>
            </w:r>
          </w:p>
        </w:tc>
        <w:tc>
          <w:tcPr>
            <w:tcW w:w="1800" w:type="dxa"/>
            <w:vAlign w:val="center"/>
          </w:tcPr>
          <w:p w:rsidR="008D0053" w:rsidRDefault="008D0053" w:rsidP="00E80022">
            <w:pPr>
              <w:spacing w:line="280" w:lineRule="exact"/>
              <w:jc w:val="center"/>
              <w:rPr>
                <w:rFonts w:ascii="黑体" w:eastAsia="黑体" w:hAnsi="黑体" w:cs="黑体" w:hint="eastAsia"/>
                <w:szCs w:val="21"/>
              </w:rPr>
            </w:pPr>
            <w:r>
              <w:rPr>
                <w:rFonts w:ascii="黑体" w:eastAsia="黑体" w:hAnsi="黑体" w:cs="黑体" w:hint="eastAsia"/>
                <w:szCs w:val="21"/>
              </w:rPr>
              <w:t>原实施机关</w:t>
            </w:r>
          </w:p>
        </w:tc>
        <w:tc>
          <w:tcPr>
            <w:tcW w:w="1620" w:type="dxa"/>
            <w:vAlign w:val="center"/>
          </w:tcPr>
          <w:p w:rsidR="008D0053" w:rsidRDefault="008D0053" w:rsidP="00E80022">
            <w:pPr>
              <w:spacing w:line="280" w:lineRule="exact"/>
              <w:jc w:val="center"/>
              <w:rPr>
                <w:rFonts w:ascii="黑体" w:eastAsia="黑体" w:hAnsi="黑体" w:cs="黑体" w:hint="eastAsia"/>
                <w:szCs w:val="21"/>
              </w:rPr>
            </w:pPr>
            <w:r>
              <w:rPr>
                <w:rFonts w:ascii="黑体" w:eastAsia="黑体" w:hAnsi="黑体" w:cs="黑体" w:hint="eastAsia"/>
                <w:szCs w:val="21"/>
              </w:rPr>
              <w:t>备注</w:t>
            </w:r>
          </w:p>
        </w:tc>
      </w:tr>
      <w:tr w:rsidR="008D0053" w:rsidTr="00E80022">
        <w:trPr>
          <w:trHeight w:val="1064"/>
        </w:trPr>
        <w:tc>
          <w:tcPr>
            <w:tcW w:w="652" w:type="dxa"/>
            <w:vAlign w:val="center"/>
          </w:tcPr>
          <w:p w:rsidR="008D0053" w:rsidRDefault="008D0053" w:rsidP="00E80022">
            <w:pPr>
              <w:jc w:val="center"/>
              <w:rPr>
                <w:rFonts w:ascii="宋体" w:hAnsi="宋体" w:hint="eastAsia"/>
                <w:szCs w:val="21"/>
              </w:rPr>
            </w:pPr>
            <w:r>
              <w:rPr>
                <w:rFonts w:ascii="宋体" w:hAnsi="宋体" w:hint="eastAsia"/>
                <w:szCs w:val="21"/>
              </w:rPr>
              <w:t>1</w:t>
            </w:r>
          </w:p>
        </w:tc>
        <w:tc>
          <w:tcPr>
            <w:tcW w:w="1436" w:type="dxa"/>
            <w:vAlign w:val="center"/>
          </w:tcPr>
          <w:p w:rsidR="008D0053" w:rsidRDefault="008D0053" w:rsidP="00E80022">
            <w:pPr>
              <w:widowControl/>
              <w:spacing w:line="280" w:lineRule="exact"/>
              <w:rPr>
                <w:rFonts w:ascii="宋体" w:hAnsi="宋体" w:cs="宋体" w:hint="eastAsia"/>
                <w:kern w:val="0"/>
                <w:szCs w:val="21"/>
              </w:rPr>
            </w:pPr>
            <w:r>
              <w:rPr>
                <w:rFonts w:ascii="宋体" w:hAnsi="宋体" w:cs="宋体" w:hint="eastAsia"/>
                <w:kern w:val="0"/>
                <w:szCs w:val="21"/>
              </w:rPr>
              <w:t>核发煤炭生产许可证</w:t>
            </w:r>
          </w:p>
        </w:tc>
        <w:tc>
          <w:tcPr>
            <w:tcW w:w="3600" w:type="dxa"/>
            <w:vAlign w:val="center"/>
          </w:tcPr>
          <w:p w:rsidR="008D0053" w:rsidRDefault="008D0053" w:rsidP="00E80022">
            <w:pPr>
              <w:widowControl/>
              <w:spacing w:line="280" w:lineRule="exact"/>
              <w:rPr>
                <w:rFonts w:ascii="宋体" w:hAnsi="宋体" w:cs="宋体" w:hint="eastAsia"/>
                <w:kern w:val="0"/>
                <w:szCs w:val="21"/>
              </w:rPr>
            </w:pPr>
          </w:p>
          <w:p w:rsidR="008D0053" w:rsidRDefault="008D0053" w:rsidP="00E80022">
            <w:pPr>
              <w:widowControl/>
              <w:spacing w:line="280" w:lineRule="exact"/>
              <w:rPr>
                <w:rFonts w:ascii="宋体" w:hAnsi="宋体" w:cs="宋体" w:hint="eastAsia"/>
                <w:kern w:val="0"/>
                <w:szCs w:val="21"/>
              </w:rPr>
            </w:pPr>
            <w:r>
              <w:rPr>
                <w:rFonts w:ascii="宋体" w:hAnsi="宋体" w:cs="宋体" w:hint="eastAsia"/>
                <w:kern w:val="0"/>
                <w:szCs w:val="21"/>
              </w:rPr>
              <w:t>《全国人民代表大会常务委员会关于修改〈中华人民共和国文物保护法〉等十二部法律的决定》（中华人民共和国第十二届全国人民代表大会常务委员会第三次会议于２０１３年６月２９日通过）</w:t>
            </w:r>
          </w:p>
          <w:p w:rsidR="008D0053" w:rsidRDefault="008D0053" w:rsidP="00E80022">
            <w:pPr>
              <w:widowControl/>
              <w:spacing w:line="280" w:lineRule="exact"/>
              <w:rPr>
                <w:rFonts w:ascii="宋体" w:hAnsi="宋体" w:cs="宋体" w:hint="eastAsia"/>
                <w:kern w:val="0"/>
                <w:szCs w:val="21"/>
              </w:rPr>
            </w:pPr>
          </w:p>
        </w:tc>
        <w:tc>
          <w:tcPr>
            <w:tcW w:w="1800" w:type="dxa"/>
            <w:vAlign w:val="center"/>
          </w:tcPr>
          <w:p w:rsidR="008D0053" w:rsidRDefault="008D0053" w:rsidP="00E80022">
            <w:pPr>
              <w:widowControl/>
              <w:spacing w:line="280" w:lineRule="exact"/>
              <w:jc w:val="center"/>
              <w:rPr>
                <w:rFonts w:ascii="宋体" w:hAnsi="宋体" w:cs="宋体" w:hint="eastAsia"/>
                <w:kern w:val="0"/>
                <w:szCs w:val="21"/>
              </w:rPr>
            </w:pPr>
            <w:r>
              <w:rPr>
                <w:rFonts w:ascii="宋体" w:hAnsi="宋体" w:cs="宋体" w:hint="eastAsia"/>
                <w:kern w:val="0"/>
                <w:szCs w:val="21"/>
              </w:rPr>
              <w:t>省能源局</w:t>
            </w:r>
          </w:p>
        </w:tc>
        <w:tc>
          <w:tcPr>
            <w:tcW w:w="1620" w:type="dxa"/>
          </w:tcPr>
          <w:p w:rsidR="008D0053" w:rsidRDefault="008D0053" w:rsidP="00E80022">
            <w:pPr>
              <w:widowControl/>
              <w:jc w:val="left"/>
              <w:rPr>
                <w:rFonts w:ascii="宋体" w:hAnsi="宋体" w:cs="宋体" w:hint="eastAsia"/>
                <w:kern w:val="0"/>
                <w:szCs w:val="21"/>
              </w:rPr>
            </w:pPr>
          </w:p>
        </w:tc>
      </w:tr>
      <w:tr w:rsidR="008D0053" w:rsidTr="00E80022">
        <w:trPr>
          <w:trHeight w:val="1064"/>
        </w:trPr>
        <w:tc>
          <w:tcPr>
            <w:tcW w:w="652" w:type="dxa"/>
            <w:vAlign w:val="center"/>
          </w:tcPr>
          <w:p w:rsidR="008D0053" w:rsidRDefault="008D0053" w:rsidP="00E80022">
            <w:pPr>
              <w:jc w:val="center"/>
              <w:rPr>
                <w:rFonts w:ascii="宋体" w:hAnsi="宋体" w:hint="eastAsia"/>
                <w:szCs w:val="21"/>
              </w:rPr>
            </w:pPr>
            <w:r>
              <w:rPr>
                <w:rFonts w:ascii="宋体" w:hAnsi="宋体" w:hint="eastAsia"/>
                <w:szCs w:val="21"/>
              </w:rPr>
              <w:t>2</w:t>
            </w:r>
          </w:p>
        </w:tc>
        <w:tc>
          <w:tcPr>
            <w:tcW w:w="1436" w:type="dxa"/>
            <w:vAlign w:val="center"/>
          </w:tcPr>
          <w:p w:rsidR="008D0053" w:rsidRDefault="008D0053" w:rsidP="00E80022">
            <w:pPr>
              <w:widowControl/>
              <w:spacing w:line="280" w:lineRule="exact"/>
              <w:rPr>
                <w:rFonts w:ascii="宋体" w:hAnsi="宋体" w:cs="宋体" w:hint="eastAsia"/>
                <w:kern w:val="0"/>
                <w:szCs w:val="21"/>
              </w:rPr>
            </w:pPr>
            <w:r>
              <w:rPr>
                <w:rFonts w:ascii="宋体" w:hAnsi="宋体" w:cs="宋体" w:hint="eastAsia"/>
                <w:kern w:val="0"/>
                <w:szCs w:val="21"/>
              </w:rPr>
              <w:t>设立煤炭经营企业审批</w:t>
            </w:r>
          </w:p>
        </w:tc>
        <w:tc>
          <w:tcPr>
            <w:tcW w:w="3600" w:type="dxa"/>
            <w:vAlign w:val="center"/>
          </w:tcPr>
          <w:p w:rsidR="008D0053" w:rsidRDefault="008D0053" w:rsidP="00E80022">
            <w:pPr>
              <w:widowControl/>
              <w:spacing w:line="280" w:lineRule="exact"/>
              <w:rPr>
                <w:rFonts w:ascii="宋体" w:hAnsi="宋体" w:cs="宋体" w:hint="eastAsia"/>
                <w:kern w:val="0"/>
                <w:szCs w:val="21"/>
              </w:rPr>
            </w:pPr>
            <w:r>
              <w:rPr>
                <w:rFonts w:ascii="宋体" w:hAnsi="宋体" w:cs="宋体" w:hint="eastAsia"/>
                <w:kern w:val="0"/>
                <w:szCs w:val="21"/>
              </w:rPr>
              <w:t>《全国人民代表大会常务委员会关于修改〈中华人民共和国文物保护法〉等十二部法律的决定》（中华人民共和国第十二届全国人民代表大会常务委员会第三次会议于２０１３年６月２９日通过）</w:t>
            </w:r>
          </w:p>
        </w:tc>
        <w:tc>
          <w:tcPr>
            <w:tcW w:w="1800" w:type="dxa"/>
            <w:vAlign w:val="center"/>
          </w:tcPr>
          <w:p w:rsidR="008D0053" w:rsidRDefault="008D0053" w:rsidP="00E80022">
            <w:pPr>
              <w:widowControl/>
              <w:spacing w:line="280" w:lineRule="exact"/>
              <w:jc w:val="center"/>
              <w:rPr>
                <w:rFonts w:ascii="宋体" w:hAnsi="宋体" w:cs="宋体" w:hint="eastAsia"/>
                <w:kern w:val="0"/>
                <w:szCs w:val="21"/>
              </w:rPr>
            </w:pPr>
            <w:r>
              <w:rPr>
                <w:rFonts w:ascii="宋体" w:hAnsi="宋体" w:cs="宋体" w:hint="eastAsia"/>
                <w:kern w:val="0"/>
                <w:szCs w:val="21"/>
              </w:rPr>
              <w:t>省能源局</w:t>
            </w:r>
          </w:p>
        </w:tc>
        <w:tc>
          <w:tcPr>
            <w:tcW w:w="1620" w:type="dxa"/>
          </w:tcPr>
          <w:p w:rsidR="008D0053" w:rsidRDefault="008D0053" w:rsidP="00E80022">
            <w:pPr>
              <w:widowControl/>
              <w:jc w:val="left"/>
              <w:rPr>
                <w:rFonts w:ascii="宋体" w:hAnsi="宋体" w:cs="宋体" w:hint="eastAsia"/>
                <w:kern w:val="0"/>
                <w:szCs w:val="21"/>
              </w:rPr>
            </w:pPr>
          </w:p>
        </w:tc>
      </w:tr>
      <w:tr w:rsidR="008D0053" w:rsidTr="00E80022">
        <w:trPr>
          <w:trHeight w:val="1064"/>
        </w:trPr>
        <w:tc>
          <w:tcPr>
            <w:tcW w:w="652" w:type="dxa"/>
            <w:shd w:val="clear" w:color="auto" w:fill="auto"/>
            <w:vAlign w:val="center"/>
          </w:tcPr>
          <w:p w:rsidR="008D0053" w:rsidRDefault="008D0053" w:rsidP="00E80022">
            <w:pPr>
              <w:jc w:val="center"/>
              <w:rPr>
                <w:rFonts w:ascii="宋体" w:hAnsi="宋体" w:hint="eastAsia"/>
                <w:szCs w:val="21"/>
              </w:rPr>
            </w:pPr>
            <w:r>
              <w:rPr>
                <w:rFonts w:ascii="宋体" w:hAnsi="宋体" w:hint="eastAsia"/>
                <w:szCs w:val="21"/>
              </w:rPr>
              <w:t>3</w:t>
            </w:r>
          </w:p>
        </w:tc>
        <w:tc>
          <w:tcPr>
            <w:tcW w:w="1436" w:type="dxa"/>
            <w:shd w:val="clear" w:color="auto" w:fill="FFFFFF"/>
            <w:vAlign w:val="center"/>
          </w:tcPr>
          <w:p w:rsidR="008D0053" w:rsidRDefault="008D0053" w:rsidP="00E80022">
            <w:pPr>
              <w:spacing w:line="280" w:lineRule="exact"/>
              <w:rPr>
                <w:rFonts w:ascii="宋体" w:hAnsi="宋体" w:cs="宋体" w:hint="eastAsia"/>
                <w:kern w:val="0"/>
                <w:szCs w:val="21"/>
              </w:rPr>
            </w:pPr>
            <w:r>
              <w:rPr>
                <w:rFonts w:ascii="宋体" w:hAnsi="宋体" w:cs="宋体" w:hint="eastAsia"/>
                <w:szCs w:val="21"/>
              </w:rPr>
              <w:t>演出经纪机构有关事项变更许可</w:t>
            </w:r>
          </w:p>
        </w:tc>
        <w:tc>
          <w:tcPr>
            <w:tcW w:w="3600" w:type="dxa"/>
            <w:shd w:val="clear" w:color="auto" w:fill="FFFFFF"/>
            <w:vAlign w:val="center"/>
          </w:tcPr>
          <w:p w:rsidR="008D0053" w:rsidRDefault="008D0053" w:rsidP="00E80022">
            <w:pPr>
              <w:spacing w:line="280" w:lineRule="exact"/>
              <w:jc w:val="left"/>
              <w:rPr>
                <w:rFonts w:ascii="宋体" w:hAnsi="宋体" w:cs="宋体" w:hint="eastAsia"/>
                <w:szCs w:val="21"/>
              </w:rPr>
            </w:pPr>
            <w:r>
              <w:rPr>
                <w:rFonts w:ascii="宋体" w:hAnsi="宋体" w:cs="宋体" w:hint="eastAsia"/>
                <w:szCs w:val="21"/>
              </w:rPr>
              <w:t>《国务院关于废止和修改部分行政法规的决定》（国务院令第638号）</w:t>
            </w:r>
          </w:p>
        </w:tc>
        <w:tc>
          <w:tcPr>
            <w:tcW w:w="1800" w:type="dxa"/>
            <w:shd w:val="clear" w:color="auto" w:fill="FFFFFF"/>
            <w:vAlign w:val="center"/>
          </w:tcPr>
          <w:p w:rsidR="008D0053" w:rsidRDefault="008D0053" w:rsidP="00E80022">
            <w:pPr>
              <w:spacing w:line="280" w:lineRule="exact"/>
              <w:jc w:val="center"/>
              <w:rPr>
                <w:rFonts w:ascii="宋体" w:hAnsi="宋体" w:cs="宋体" w:hint="eastAsia"/>
                <w:kern w:val="0"/>
                <w:szCs w:val="21"/>
              </w:rPr>
            </w:pPr>
            <w:r>
              <w:rPr>
                <w:rFonts w:ascii="宋体" w:hAnsi="宋体" w:cs="宋体" w:hint="eastAsia"/>
                <w:szCs w:val="21"/>
              </w:rPr>
              <w:t>省文化厅</w:t>
            </w:r>
          </w:p>
        </w:tc>
        <w:tc>
          <w:tcPr>
            <w:tcW w:w="1620" w:type="dxa"/>
            <w:shd w:val="clear" w:color="auto" w:fill="FFFFFF"/>
          </w:tcPr>
          <w:p w:rsidR="008D0053" w:rsidRDefault="008D0053" w:rsidP="00E80022">
            <w:pPr>
              <w:spacing w:line="280" w:lineRule="exact"/>
              <w:rPr>
                <w:rFonts w:ascii="宋体" w:hAnsi="宋体" w:cs="宋体" w:hint="eastAsia"/>
                <w:kern w:val="0"/>
                <w:szCs w:val="21"/>
              </w:rPr>
            </w:pPr>
            <w:r>
              <w:rPr>
                <w:rFonts w:ascii="宋体" w:hAnsi="宋体" w:cs="宋体" w:hint="eastAsia"/>
                <w:szCs w:val="21"/>
              </w:rPr>
              <w:t>该项许可属于我省“设立演出经纪机构及有关事项变更的许可”的子项，“设立演出经纪机构的许可”仍继续实施。</w:t>
            </w:r>
          </w:p>
        </w:tc>
      </w:tr>
    </w:tbl>
    <w:p w:rsidR="008D0053" w:rsidRDefault="008D0053" w:rsidP="008D0053">
      <w:pPr>
        <w:rPr>
          <w:rFonts w:ascii="宋体" w:hAnsi="宋体" w:hint="eastAsia"/>
          <w:szCs w:val="21"/>
        </w:rPr>
        <w:sectPr w:rsidR="008D0053" w:rsidSect="00A7196D">
          <w:footerReference w:type="even" r:id="rId4"/>
          <w:footerReference w:type="default" r:id="rId5"/>
          <w:footerReference w:type="first" r:id="rId6"/>
          <w:pgSz w:w="11906" w:h="16838"/>
          <w:pgMar w:top="1440" w:right="1800" w:bottom="1440" w:left="1800" w:header="851" w:footer="992" w:gutter="0"/>
          <w:pgNumType w:start="3"/>
          <w:cols w:space="720"/>
          <w:docGrid w:type="lines" w:linePitch="312"/>
        </w:sectPr>
      </w:pPr>
    </w:p>
    <w:p w:rsidR="00027F0B" w:rsidRDefault="00027F0B"/>
    <w:sectPr w:rsidR="00027F0B" w:rsidSect="00027F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6B" w:rsidRDefault="00F46790" w:rsidP="00A7196D">
    <w:pPr>
      <w:pStyle w:val="a4"/>
      <w:framePr w:wrap="around" w:vAnchor="text" w:hAnchor="margin" w:xAlign="right" w:y="1"/>
      <w:rPr>
        <w:rStyle w:val="a3"/>
      </w:rPr>
    </w:pPr>
    <w:r>
      <w:fldChar w:fldCharType="begin"/>
    </w:r>
    <w:r>
      <w:rPr>
        <w:rStyle w:val="a3"/>
      </w:rPr>
      <w:instrText xml:space="preserve">PAGE  </w:instrText>
    </w:r>
    <w:r>
      <w:fldChar w:fldCharType="separate"/>
    </w:r>
    <w:r>
      <w:rPr>
        <w:rStyle w:val="a3"/>
      </w:rPr>
      <w:t>1</w:t>
    </w:r>
    <w:r>
      <w:fldChar w:fldCharType="end"/>
    </w:r>
  </w:p>
  <w:p w:rsidR="00D3226B" w:rsidRDefault="00F46790">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6B" w:rsidRDefault="00F46790">
    <w:pPr>
      <w:pStyle w:val="a4"/>
      <w:ind w:right="360"/>
      <w:rPr>
        <w:rFonts w:hint="eastAsia"/>
      </w:rPr>
    </w:pPr>
    <w:r>
      <w:pict>
        <v:rect id="文本框1" o:spid="_x0000_s1025" style="position:absolute;margin-left:0;margin-top:0;width:2in;height:2in;z-index:251660288;mso-wrap-style:none;mso-position-horizontal:center;mso-position-horizontal-relative:margin" filled="f" stroked="f">
          <v:textbox style="mso-fit-shape-to-text:t" inset="0,0,0,0">
            <w:txbxContent>
              <w:p w:rsidR="00D3226B" w:rsidRPr="00A7196D" w:rsidRDefault="00F46790">
                <w:pPr>
                  <w:pStyle w:val="a4"/>
                  <w:rPr>
                    <w:rStyle w:val="a3"/>
                    <w:sz w:val="28"/>
                    <w:szCs w:val="28"/>
                  </w:rPr>
                </w:pPr>
                <w:r w:rsidRPr="00A7196D">
                  <w:rPr>
                    <w:sz w:val="28"/>
                    <w:szCs w:val="28"/>
                  </w:rPr>
                  <w:fldChar w:fldCharType="begin"/>
                </w:r>
                <w:r w:rsidRPr="00A7196D">
                  <w:rPr>
                    <w:rStyle w:val="a3"/>
                    <w:sz w:val="28"/>
                    <w:szCs w:val="28"/>
                  </w:rPr>
                  <w:instrText xml:space="preserve">PAGE  </w:instrText>
                </w:r>
                <w:r w:rsidRPr="00A7196D">
                  <w:rPr>
                    <w:sz w:val="28"/>
                    <w:szCs w:val="28"/>
                  </w:rPr>
                  <w:fldChar w:fldCharType="separate"/>
                </w:r>
                <w:r w:rsidR="008D0053">
                  <w:rPr>
                    <w:rStyle w:val="a3"/>
                    <w:noProof/>
                    <w:sz w:val="28"/>
                    <w:szCs w:val="28"/>
                  </w:rPr>
                  <w:t>3</w:t>
                </w:r>
                <w:r w:rsidRPr="00A7196D">
                  <w:rPr>
                    <w:sz w:val="28"/>
                    <w:szCs w:val="2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6B" w:rsidRDefault="00F46790">
    <w:pPr>
      <w:pStyle w:val="a4"/>
      <w:framePr w:h="0" w:wrap="around" w:vAnchor="text" w:hAnchor="margin" w:xAlign="right" w:y="1"/>
      <w:rPr>
        <w:rStyle w:val="a3"/>
      </w:rPr>
    </w:pPr>
    <w:r>
      <w:fldChar w:fldCharType="begin"/>
    </w:r>
    <w:r>
      <w:rPr>
        <w:rStyle w:val="a3"/>
      </w:rPr>
      <w:instrText xml:space="preserve">PAGE  </w:instrText>
    </w:r>
    <w:r>
      <w:fldChar w:fldCharType="separate"/>
    </w:r>
    <w:r>
      <w:rPr>
        <w:rStyle w:val="a3"/>
      </w:rPr>
      <w:t>1</w:t>
    </w:r>
    <w:r>
      <w:fldChar w:fldCharType="end"/>
    </w:r>
  </w:p>
  <w:p w:rsidR="00D3226B" w:rsidRDefault="00F46790">
    <w:pPr>
      <w:pStyle w:val="a4"/>
      <w:ind w:right="360"/>
    </w:pPr>
    <w:r>
      <w:rPr>
        <w:rFonts w:hint="eastAsia"/>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8D0053"/>
    <w:rsid w:val="00027F0B"/>
    <w:rsid w:val="008D0053"/>
    <w:rsid w:val="00F467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0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D0053"/>
  </w:style>
  <w:style w:type="paragraph" w:styleId="a4">
    <w:name w:val="footer"/>
    <w:basedOn w:val="a"/>
    <w:link w:val="Char"/>
    <w:rsid w:val="008D0053"/>
    <w:pPr>
      <w:tabs>
        <w:tab w:val="center" w:pos="4153"/>
        <w:tab w:val="right" w:pos="8306"/>
      </w:tabs>
      <w:snapToGrid w:val="0"/>
      <w:jc w:val="left"/>
    </w:pPr>
    <w:rPr>
      <w:sz w:val="18"/>
      <w:szCs w:val="18"/>
    </w:rPr>
  </w:style>
  <w:style w:type="character" w:customStyle="1" w:styleId="Char">
    <w:name w:val="页脚 Char"/>
    <w:basedOn w:val="a0"/>
    <w:link w:val="a4"/>
    <w:rsid w:val="008D005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2013-12-20T07:58:00Z</dcterms:created>
  <dcterms:modified xsi:type="dcterms:W3CDTF">2013-12-20T07:59:00Z</dcterms:modified>
</cp:coreProperties>
</file>