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16" w:rsidRDefault="003F7F16" w:rsidP="003F7F16">
      <w:pPr>
        <w:rPr>
          <w:rFonts w:ascii="黑体" w:eastAsia="黑体" w:hAnsi="宋体" w:cs="黑体" w:hint="eastAsia"/>
          <w:sz w:val="32"/>
          <w:szCs w:val="32"/>
        </w:rPr>
      </w:pPr>
      <w:r>
        <w:rPr>
          <w:rFonts w:ascii="黑体" w:eastAsia="黑体" w:hAnsi="宋体" w:cs="黑体" w:hint="eastAsia"/>
          <w:sz w:val="32"/>
          <w:szCs w:val="32"/>
        </w:rPr>
        <w:t>附件4</w:t>
      </w:r>
    </w:p>
    <w:p w:rsidR="003F7F16" w:rsidRDefault="003F7F16" w:rsidP="003F7F16">
      <w:pPr>
        <w:rPr>
          <w:rFonts w:ascii="黑体" w:eastAsia="黑体" w:hAnsi="宋体" w:cs="黑体" w:hint="eastAsia"/>
          <w:sz w:val="32"/>
          <w:szCs w:val="32"/>
        </w:rPr>
      </w:pPr>
    </w:p>
    <w:p w:rsidR="003F7F16" w:rsidRDefault="003F7F16" w:rsidP="003F7F16">
      <w:pPr>
        <w:rPr>
          <w:rFonts w:ascii="黑体" w:eastAsia="黑体" w:hAnsi="黑体" w:cs="黑体"/>
        </w:rPr>
      </w:pPr>
    </w:p>
    <w:p w:rsidR="003F7F16" w:rsidRDefault="003F7F16" w:rsidP="003F7F16">
      <w:pPr>
        <w:jc w:val="center"/>
        <w:rPr>
          <w:rFonts w:ascii="方正大标宋简体" w:eastAsia="方正大标宋简体" w:hAnsi="方正大标宋简体" w:cs="方正大标宋简体" w:hint="eastAsia"/>
          <w:sz w:val="36"/>
          <w:szCs w:val="36"/>
        </w:rPr>
      </w:pPr>
      <w:r>
        <w:rPr>
          <w:rFonts w:ascii="方正大标宋简体" w:eastAsia="方正大标宋简体" w:hAnsi="方正大标宋简体" w:cs="方正大标宋简体"/>
          <w:sz w:val="36"/>
          <w:szCs w:val="36"/>
        </w:rPr>
        <w:t xml:space="preserve">  </w:t>
      </w:r>
      <w:r>
        <w:rPr>
          <w:rFonts w:ascii="方正大标宋简体" w:eastAsia="方正大标宋简体" w:hAnsi="方正大标宋简体" w:cs="方正大标宋简体" w:hint="eastAsia"/>
          <w:sz w:val="36"/>
          <w:szCs w:val="36"/>
        </w:rPr>
        <w:t>省人民政府决定合并的行政许可项目目录（36项）</w:t>
      </w:r>
    </w:p>
    <w:p w:rsidR="003F7F16" w:rsidRDefault="003F7F16" w:rsidP="003F7F16">
      <w:pPr>
        <w:jc w:val="center"/>
        <w:rPr>
          <w:rFonts w:ascii="方正大标宋简体" w:eastAsia="方正大标宋简体" w:hAnsi="方正大标宋简体" w:cs="方正大标宋简体"/>
          <w:sz w:val="36"/>
          <w:szCs w:val="3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25"/>
        <w:gridCol w:w="525"/>
        <w:gridCol w:w="1211"/>
        <w:gridCol w:w="1545"/>
        <w:gridCol w:w="4125"/>
        <w:gridCol w:w="1309"/>
      </w:tblGrid>
      <w:tr w:rsidR="003F7F16" w:rsidTr="00E80022">
        <w:trPr>
          <w:trHeight w:val="830"/>
        </w:trPr>
        <w:tc>
          <w:tcPr>
            <w:tcW w:w="420" w:type="dxa"/>
            <w:vAlign w:val="center"/>
          </w:tcPr>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序号</w:t>
            </w:r>
          </w:p>
        </w:tc>
        <w:tc>
          <w:tcPr>
            <w:tcW w:w="525" w:type="dxa"/>
            <w:vAlign w:val="center"/>
          </w:tcPr>
          <w:p w:rsidR="003F7F16" w:rsidRDefault="003F7F16" w:rsidP="00E80022">
            <w:pPr>
              <w:spacing w:line="200" w:lineRule="exact"/>
              <w:jc w:val="center"/>
              <w:rPr>
                <w:rFonts w:ascii="黑体" w:eastAsia="黑体" w:hAnsi="黑体" w:cs="黑体" w:hint="eastAsia"/>
                <w:bCs/>
                <w:szCs w:val="21"/>
              </w:rPr>
            </w:pPr>
            <w:r>
              <w:rPr>
                <w:rFonts w:ascii="黑体" w:eastAsia="黑体" w:hAnsi="黑体" w:cs="黑体" w:hint="eastAsia"/>
                <w:bCs/>
                <w:szCs w:val="21"/>
              </w:rPr>
              <w:t>实施机关</w:t>
            </w:r>
          </w:p>
        </w:tc>
        <w:tc>
          <w:tcPr>
            <w:tcW w:w="525" w:type="dxa"/>
            <w:vAlign w:val="center"/>
          </w:tcPr>
          <w:p w:rsidR="003F7F16" w:rsidRDefault="003F7F16" w:rsidP="00E80022">
            <w:pPr>
              <w:spacing w:line="200" w:lineRule="exact"/>
              <w:jc w:val="center"/>
              <w:rPr>
                <w:rFonts w:ascii="黑体" w:eastAsia="黑体" w:hAnsi="黑体" w:cs="黑体" w:hint="eastAsia"/>
                <w:bCs/>
                <w:szCs w:val="21"/>
              </w:rPr>
            </w:pPr>
            <w:r>
              <w:rPr>
                <w:rFonts w:ascii="黑体" w:eastAsia="黑体" w:hAnsi="黑体" w:cs="黑体" w:hint="eastAsia"/>
                <w:bCs/>
                <w:szCs w:val="21"/>
              </w:rPr>
              <w:t>合并前序号</w:t>
            </w:r>
          </w:p>
        </w:tc>
        <w:tc>
          <w:tcPr>
            <w:tcW w:w="1211" w:type="dxa"/>
            <w:vAlign w:val="center"/>
          </w:tcPr>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合并前</w:t>
            </w:r>
          </w:p>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项目名称</w:t>
            </w:r>
          </w:p>
        </w:tc>
        <w:tc>
          <w:tcPr>
            <w:tcW w:w="1545" w:type="dxa"/>
            <w:vAlign w:val="center"/>
          </w:tcPr>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合并后</w:t>
            </w:r>
          </w:p>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项目名称</w:t>
            </w:r>
          </w:p>
        </w:tc>
        <w:tc>
          <w:tcPr>
            <w:tcW w:w="4125" w:type="dxa"/>
            <w:vAlign w:val="center"/>
          </w:tcPr>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法律依据</w:t>
            </w:r>
          </w:p>
        </w:tc>
        <w:tc>
          <w:tcPr>
            <w:tcW w:w="1309" w:type="dxa"/>
            <w:vAlign w:val="center"/>
          </w:tcPr>
          <w:p w:rsidR="003F7F16" w:rsidRDefault="003F7F16" w:rsidP="00E80022">
            <w:pPr>
              <w:spacing w:line="360" w:lineRule="exact"/>
              <w:jc w:val="center"/>
              <w:rPr>
                <w:rFonts w:ascii="黑体" w:eastAsia="黑体" w:hAnsi="黑体" w:cs="黑体" w:hint="eastAsia"/>
                <w:bCs/>
                <w:szCs w:val="21"/>
              </w:rPr>
            </w:pPr>
            <w:r>
              <w:rPr>
                <w:rFonts w:ascii="黑体" w:eastAsia="黑体" w:hAnsi="黑体" w:cs="黑体" w:hint="eastAsia"/>
                <w:bCs/>
                <w:szCs w:val="21"/>
              </w:rPr>
              <w:t>备注</w:t>
            </w: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28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省发展改革委</w:t>
            </w:r>
          </w:p>
        </w:tc>
        <w:tc>
          <w:tcPr>
            <w:tcW w:w="525" w:type="dxa"/>
            <w:vAlign w:val="center"/>
          </w:tcPr>
          <w:p w:rsidR="003F7F16" w:rsidRDefault="003F7F16" w:rsidP="00E80022">
            <w:pPr>
              <w:spacing w:line="280" w:lineRule="exact"/>
              <w:jc w:val="center"/>
              <w:rPr>
                <w:rFonts w:ascii="宋体" w:hAnsi="宋体" w:cs="宋体" w:hint="eastAsia"/>
                <w:bCs/>
                <w:szCs w:val="21"/>
              </w:rPr>
            </w:pPr>
            <w:r>
              <w:rPr>
                <w:rFonts w:ascii="宋体" w:hAnsi="宋体" w:cs="宋体" w:hint="eastAsia"/>
                <w:szCs w:val="21"/>
              </w:rPr>
              <w:t>1</w:t>
            </w:r>
          </w:p>
        </w:tc>
        <w:tc>
          <w:tcPr>
            <w:tcW w:w="1211" w:type="dxa"/>
            <w:vAlign w:val="center"/>
          </w:tcPr>
          <w:p w:rsidR="003F7F16" w:rsidRDefault="003F7F16" w:rsidP="00E80022">
            <w:pPr>
              <w:spacing w:line="280" w:lineRule="exact"/>
              <w:rPr>
                <w:rFonts w:ascii="宋体" w:hAnsi="宋体" w:cs="宋体" w:hint="eastAsia"/>
                <w:bCs/>
                <w:szCs w:val="21"/>
              </w:rPr>
            </w:pPr>
            <w:r>
              <w:rPr>
                <w:rFonts w:ascii="宋体" w:hAnsi="宋体" w:cs="宋体" w:hint="eastAsia"/>
                <w:szCs w:val="21"/>
              </w:rPr>
              <w:t>权限内外商投资项目核准</w:t>
            </w:r>
          </w:p>
        </w:tc>
        <w:tc>
          <w:tcPr>
            <w:tcW w:w="1545" w:type="dxa"/>
            <w:vMerge w:val="restart"/>
            <w:vAlign w:val="center"/>
          </w:tcPr>
          <w:p w:rsidR="003F7F16" w:rsidRDefault="003F7F16" w:rsidP="00E80022">
            <w:pPr>
              <w:spacing w:line="360" w:lineRule="exact"/>
              <w:rPr>
                <w:rFonts w:ascii="宋体" w:hAnsi="宋体" w:cs="宋体" w:hint="eastAsia"/>
                <w:bCs/>
                <w:szCs w:val="21"/>
              </w:rPr>
            </w:pPr>
            <w:r>
              <w:rPr>
                <w:rFonts w:ascii="宋体" w:hAnsi="宋体" w:cs="宋体" w:hint="eastAsia"/>
                <w:szCs w:val="21"/>
              </w:rPr>
              <w:t>权限内外商投资项目及企业向境外投资项目核准</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《指导外商投资方向规定》（国务院令第346号）</w:t>
            </w:r>
          </w:p>
          <w:p w:rsidR="003F7F16" w:rsidRDefault="003F7F16" w:rsidP="00E80022">
            <w:pPr>
              <w:spacing w:line="280" w:lineRule="exact"/>
              <w:rPr>
                <w:rFonts w:ascii="宋体" w:hAnsi="宋体" w:cs="宋体" w:hint="eastAsia"/>
                <w:szCs w:val="21"/>
              </w:rPr>
            </w:pPr>
            <w:r>
              <w:rPr>
                <w:rFonts w:ascii="宋体" w:hAnsi="宋体" w:cs="宋体" w:hint="eastAsia"/>
                <w:szCs w:val="21"/>
              </w:rPr>
              <w:t>《国务院关于投资体制改革的决定》（国发〔2004〕20号）</w:t>
            </w:r>
          </w:p>
          <w:p w:rsidR="003F7F16" w:rsidRDefault="003F7F16" w:rsidP="00E80022">
            <w:pPr>
              <w:spacing w:line="280" w:lineRule="exact"/>
              <w:rPr>
                <w:rFonts w:ascii="宋体" w:hAnsi="宋体" w:cs="宋体" w:hint="eastAsia"/>
                <w:szCs w:val="21"/>
              </w:rPr>
            </w:pPr>
            <w:r>
              <w:rPr>
                <w:rFonts w:ascii="宋体" w:hAnsi="宋体" w:cs="宋体" w:hint="eastAsia"/>
                <w:szCs w:val="21"/>
              </w:rPr>
              <w:t>《外商投资项目核准暂行管理办法》（国家发展改革委令第22号）</w:t>
            </w:r>
          </w:p>
          <w:p w:rsidR="003F7F16" w:rsidRDefault="003F7F16" w:rsidP="00E80022">
            <w:pPr>
              <w:spacing w:line="280" w:lineRule="exact"/>
              <w:ind w:leftChars="-46" w:left="-49" w:hangingChars="23" w:hanging="48"/>
              <w:rPr>
                <w:rFonts w:ascii="宋体" w:hAnsi="宋体" w:cs="宋体" w:hint="eastAsia"/>
                <w:bCs/>
                <w:szCs w:val="21"/>
              </w:rPr>
            </w:pPr>
            <w:r>
              <w:rPr>
                <w:rFonts w:ascii="宋体" w:hAnsi="宋体" w:cs="宋体" w:hint="eastAsia"/>
                <w:szCs w:val="21"/>
              </w:rPr>
              <w:t>《国家发展改革委关于做好外商投资项目下放核准权限工作的通知》（发改外资〔2010〕914号）</w:t>
            </w:r>
          </w:p>
        </w:tc>
        <w:tc>
          <w:tcPr>
            <w:tcW w:w="1309" w:type="dxa"/>
          </w:tcPr>
          <w:p w:rsidR="003F7F16" w:rsidRDefault="003F7F16" w:rsidP="00E80022">
            <w:pPr>
              <w:spacing w:line="280" w:lineRule="exact"/>
              <w:ind w:leftChars="-46" w:left="-49" w:hangingChars="23" w:hanging="48"/>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bCs/>
                <w:szCs w:val="21"/>
              </w:rPr>
            </w:pPr>
            <w:r>
              <w:rPr>
                <w:rFonts w:ascii="宋体" w:hAnsi="宋体" w:cs="宋体" w:hint="eastAsia"/>
                <w:szCs w:val="21"/>
              </w:rPr>
              <w:t>2</w:t>
            </w:r>
          </w:p>
        </w:tc>
        <w:tc>
          <w:tcPr>
            <w:tcW w:w="1211" w:type="dxa"/>
            <w:vAlign w:val="center"/>
          </w:tcPr>
          <w:p w:rsidR="003F7F16" w:rsidRDefault="003F7F16" w:rsidP="00E80022">
            <w:pPr>
              <w:spacing w:line="280" w:lineRule="exact"/>
              <w:rPr>
                <w:rFonts w:ascii="宋体" w:hAnsi="宋体" w:cs="宋体" w:hint="eastAsia"/>
                <w:bCs/>
                <w:szCs w:val="21"/>
              </w:rPr>
            </w:pPr>
            <w:r>
              <w:rPr>
                <w:rFonts w:ascii="宋体" w:hAnsi="宋体" w:cs="宋体" w:hint="eastAsia"/>
                <w:szCs w:val="21"/>
              </w:rPr>
              <w:t>权限内企业向境外投资项目核准</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《国务院关于投资体制改革的决定》（国发〔2004〕20号）</w:t>
            </w:r>
          </w:p>
          <w:p w:rsidR="003F7F16" w:rsidRDefault="003F7F16" w:rsidP="00E80022">
            <w:pPr>
              <w:spacing w:line="280" w:lineRule="exact"/>
              <w:rPr>
                <w:rFonts w:ascii="宋体" w:hAnsi="宋体" w:cs="宋体" w:hint="eastAsia"/>
                <w:szCs w:val="21"/>
              </w:rPr>
            </w:pPr>
            <w:r>
              <w:rPr>
                <w:rFonts w:ascii="宋体" w:hAnsi="宋体" w:cs="宋体" w:hint="eastAsia"/>
                <w:szCs w:val="21"/>
              </w:rPr>
              <w:t>《境外投资项目核准暂行管理办法》（国家发展改革委令第21号）</w:t>
            </w:r>
          </w:p>
        </w:tc>
        <w:tc>
          <w:tcPr>
            <w:tcW w:w="1309" w:type="dxa"/>
          </w:tcPr>
          <w:p w:rsidR="003F7F16" w:rsidRDefault="003F7F16" w:rsidP="00E80022">
            <w:pPr>
              <w:spacing w:line="280" w:lineRule="exact"/>
              <w:ind w:leftChars="-23" w:hangingChars="23" w:hanging="48"/>
              <w:rPr>
                <w:rFonts w:ascii="宋体" w:hAnsi="宋体" w:cs="宋体" w:hint="eastAsia"/>
                <w:szCs w:val="21"/>
              </w:rPr>
            </w:pP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28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省教育厅</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自费出国留学中介服务机构资格认定</w:t>
            </w:r>
          </w:p>
        </w:tc>
        <w:tc>
          <w:tcPr>
            <w:tcW w:w="1545" w:type="dxa"/>
            <w:vMerge w:val="restart"/>
            <w:vAlign w:val="center"/>
          </w:tcPr>
          <w:p w:rsidR="003F7F16" w:rsidRDefault="003F7F16" w:rsidP="00E80022">
            <w:pPr>
              <w:spacing w:line="360" w:lineRule="exact"/>
              <w:rPr>
                <w:rFonts w:ascii="宋体" w:hAnsi="宋体" w:cs="宋体" w:hint="eastAsia"/>
                <w:szCs w:val="21"/>
              </w:rPr>
            </w:pPr>
            <w:r>
              <w:rPr>
                <w:rFonts w:ascii="宋体" w:hAnsi="宋体" w:cs="宋体" w:hint="eastAsia"/>
                <w:szCs w:val="21"/>
              </w:rPr>
              <w:t>自费出国留学中介服务机构资格认定及开办外籍人员子女学校审批</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《国务院对确需保留的行政审批项目设定行政许可的决定》（国务院令第412号）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4</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开办外籍人员子女学校审批</w:t>
            </w:r>
          </w:p>
        </w:tc>
        <w:tc>
          <w:tcPr>
            <w:tcW w:w="1545" w:type="dxa"/>
            <w:vMerge/>
            <w:vAlign w:val="center"/>
          </w:tcPr>
          <w:p w:rsidR="003F7F16" w:rsidRDefault="003F7F16" w:rsidP="00E80022">
            <w:pPr>
              <w:spacing w:line="360" w:lineRule="exact"/>
              <w:jc w:val="center"/>
              <w:rPr>
                <w:rFonts w:ascii="宋体" w:hAnsi="宋体" w:cs="宋体" w:hint="eastAsia"/>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《国务院对确需保留的行政审批项目设定行政许可的决定》（国务院令第412号）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41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r w:rsidRPr="00E71FA9">
              <w:rPr>
                <w:rFonts w:ascii="宋体" w:hAnsi="宋体" w:cs="宋体" w:hint="eastAsia"/>
                <w:szCs w:val="21"/>
              </w:rPr>
              <w:t>省无线电管理局</w:t>
            </w:r>
          </w:p>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adjustRightInd w:val="0"/>
              <w:snapToGrid w:val="0"/>
              <w:spacing w:after="200" w:line="280" w:lineRule="exact"/>
              <w:jc w:val="center"/>
              <w:rPr>
                <w:rFonts w:ascii="宋体" w:hAnsi="宋体" w:cs="宋体" w:hint="eastAsia"/>
                <w:szCs w:val="21"/>
              </w:rPr>
            </w:pPr>
            <w:r>
              <w:rPr>
                <w:rFonts w:ascii="宋体" w:hAnsi="宋体" w:cs="宋体" w:hint="eastAsia"/>
                <w:szCs w:val="21"/>
              </w:rPr>
              <w:t>5</w:t>
            </w:r>
          </w:p>
        </w:tc>
        <w:tc>
          <w:tcPr>
            <w:tcW w:w="1211" w:type="dxa"/>
            <w:vAlign w:val="center"/>
          </w:tcPr>
          <w:p w:rsidR="003F7F16" w:rsidRDefault="003F7F16" w:rsidP="00E80022">
            <w:pPr>
              <w:adjustRightInd w:val="0"/>
              <w:snapToGrid w:val="0"/>
              <w:spacing w:after="200" w:line="280" w:lineRule="exact"/>
              <w:jc w:val="left"/>
              <w:rPr>
                <w:rFonts w:ascii="宋体" w:hAnsi="宋体" w:cs="宋体" w:hint="eastAsia"/>
                <w:szCs w:val="21"/>
              </w:rPr>
            </w:pPr>
            <w:r>
              <w:rPr>
                <w:rFonts w:ascii="宋体" w:hAnsi="宋体" w:cs="宋体" w:hint="eastAsia"/>
                <w:spacing w:val="-4"/>
                <w:szCs w:val="21"/>
              </w:rPr>
              <w:t>业余无线电台（站）设置审批</w:t>
            </w:r>
          </w:p>
        </w:tc>
        <w:tc>
          <w:tcPr>
            <w:tcW w:w="1545" w:type="dxa"/>
            <w:vMerge w:val="restart"/>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业余无线电台（站）设置、权限内无线电台（站）设置使用审批</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《中华人民共和国无线电管理条例》（国务院、中央军委令第128号）</w:t>
            </w:r>
          </w:p>
          <w:p w:rsidR="003F7F16" w:rsidRDefault="003F7F16" w:rsidP="00E80022">
            <w:pPr>
              <w:spacing w:line="280" w:lineRule="exact"/>
              <w:rPr>
                <w:rFonts w:ascii="宋体" w:hAnsi="宋体" w:cs="宋体" w:hint="eastAsia"/>
                <w:szCs w:val="21"/>
              </w:rPr>
            </w:pPr>
            <w:r>
              <w:rPr>
                <w:rFonts w:ascii="宋体" w:hAnsi="宋体" w:cs="宋体" w:hint="eastAsia"/>
                <w:szCs w:val="21"/>
              </w:rPr>
              <w:t>《个人业余无线电台管理暂行办法》（工业和信息化部令第22号）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6</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权限内无线电台（站）设置和使用审批</w:t>
            </w:r>
          </w:p>
        </w:tc>
        <w:tc>
          <w:tcPr>
            <w:tcW w:w="1545" w:type="dxa"/>
            <w:vMerge/>
            <w:vAlign w:val="center"/>
          </w:tcPr>
          <w:p w:rsidR="003F7F16" w:rsidRDefault="003F7F16" w:rsidP="00E80022">
            <w:pPr>
              <w:spacing w:line="280" w:lineRule="exact"/>
              <w:rPr>
                <w:rFonts w:ascii="宋体" w:hAnsi="宋体" w:cs="宋体" w:hint="eastAsia"/>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《中华人民共和国无线电管理条例》（国务院、中央军委令第128号）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715"/>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省司法厅</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7</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律师执业许可</w:t>
            </w:r>
          </w:p>
        </w:tc>
        <w:tc>
          <w:tcPr>
            <w:tcW w:w="1545" w:type="dxa"/>
            <w:vMerge w:val="restart"/>
            <w:vAlign w:val="center"/>
          </w:tcPr>
          <w:p w:rsidR="003F7F16" w:rsidRDefault="003F7F16" w:rsidP="00E80022">
            <w:pPr>
              <w:spacing w:line="360" w:lineRule="exact"/>
              <w:jc w:val="left"/>
              <w:rPr>
                <w:rFonts w:ascii="宋体" w:hAnsi="宋体" w:cs="宋体" w:hint="eastAsia"/>
                <w:szCs w:val="21"/>
              </w:rPr>
            </w:pPr>
            <w:r>
              <w:rPr>
                <w:rFonts w:ascii="宋体" w:hAnsi="宋体" w:cs="宋体" w:hint="eastAsia"/>
                <w:szCs w:val="21"/>
              </w:rPr>
              <w:t>律师事务所及分所设立许可、律师执业许可</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《中华人民共和国律师法》</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8</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律师事务所及分所设立许可</w:t>
            </w:r>
          </w:p>
        </w:tc>
        <w:tc>
          <w:tcPr>
            <w:tcW w:w="1545" w:type="dxa"/>
            <w:vMerge/>
            <w:vAlign w:val="center"/>
          </w:tcPr>
          <w:p w:rsidR="003F7F16" w:rsidRDefault="003F7F16" w:rsidP="00E80022">
            <w:pPr>
              <w:spacing w:line="360" w:lineRule="exact"/>
              <w:jc w:val="center"/>
              <w:rPr>
                <w:rFonts w:ascii="宋体" w:hAnsi="宋体" w:cs="宋体" w:hint="eastAsia"/>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《中华人民共和国律师法》</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省住房城乡建设厅</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9</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权限内建筑施工企业安全生产许可证核发</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pacing w:val="-4"/>
                <w:szCs w:val="21"/>
              </w:rPr>
              <w:t>权限内建筑施工企业安全生产许可证、建筑施工特种作业人员操作资格证书核发</w:t>
            </w:r>
          </w:p>
        </w:tc>
        <w:tc>
          <w:tcPr>
            <w:tcW w:w="4125"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《安全生产许可证条例》（国务院令第397号）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10</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建筑施工特种作业人员操作资格证书核发</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《建设工程安全生产管理条例》(国务院令第393号)</w:t>
            </w:r>
          </w:p>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《建筑施工特种作业人员管理规定》（建质〔2008〕75号）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省道路运输局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11</w:t>
            </w:r>
          </w:p>
        </w:tc>
        <w:tc>
          <w:tcPr>
            <w:tcW w:w="1211" w:type="dxa"/>
            <w:vAlign w:val="center"/>
          </w:tcPr>
          <w:p w:rsidR="003F7F16" w:rsidRDefault="003F7F16" w:rsidP="00E80022">
            <w:pPr>
              <w:spacing w:line="240" w:lineRule="exact"/>
              <w:rPr>
                <w:rFonts w:ascii="宋体" w:hAnsi="宋体" w:cs="宋体" w:hint="eastAsia"/>
                <w:spacing w:val="-4"/>
                <w:szCs w:val="21"/>
              </w:rPr>
            </w:pPr>
            <w:r>
              <w:rPr>
                <w:rFonts w:ascii="宋体" w:hAnsi="宋体" w:cs="宋体" w:hint="eastAsia"/>
                <w:szCs w:val="21"/>
              </w:rPr>
              <w:t>省际、市际道路客运及班线经营许可</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zCs w:val="21"/>
              </w:rPr>
              <w:t>国际道路运输及省际、市际道路客运及班线经营许可</w:t>
            </w:r>
          </w:p>
        </w:tc>
        <w:tc>
          <w:tcPr>
            <w:tcW w:w="4125"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《中华人民共和国道路运输条例》（国务院令第406号）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12</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国际道路运输经营许可</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《中华人民共和国道路运输条例》（国务院令第406号）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省高速公路管理局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13</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确需在高等级公路非封闭路段搭接道口许可</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zCs w:val="21"/>
              </w:rPr>
              <w:t>高速公路涉路施工许可审批</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《中华人民共和国公路法》</w:t>
            </w:r>
          </w:p>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《贵州省高速公路管理条例》</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409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14</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跨越、穿越高等级公路建设桥梁、渡槽或者架设、埋设管线等设施以及在高等级公路用地范围内架设、埋设管线、电缆等设施的审批</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《中华人民共和国公路法》</w:t>
            </w:r>
          </w:p>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《贵州省高速公路管理条例》</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210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r>
              <w:rPr>
                <w:rFonts w:ascii="宋体" w:hAnsi="宋体" w:cs="宋体" w:hint="eastAsia"/>
                <w:bCs/>
                <w:szCs w:val="21"/>
              </w:rPr>
              <w:t>省</w:t>
            </w: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省航务管理局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15</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从事省际和跨地区水路运输业务及水路运输服务业务经营许可</w:t>
            </w:r>
          </w:p>
        </w:tc>
        <w:tc>
          <w:tcPr>
            <w:tcW w:w="1545" w:type="dxa"/>
            <w:vMerge w:val="restart"/>
            <w:vAlign w:val="center"/>
          </w:tcPr>
          <w:p w:rsidR="003F7F16" w:rsidRDefault="003F7F16" w:rsidP="00E80022">
            <w:pPr>
              <w:spacing w:line="360" w:lineRule="exact"/>
              <w:jc w:val="center"/>
              <w:rPr>
                <w:rFonts w:ascii="宋体" w:hAnsi="宋体" w:cs="宋体" w:hint="eastAsia"/>
                <w:bCs/>
                <w:szCs w:val="21"/>
              </w:rPr>
            </w:pPr>
            <w:r>
              <w:rPr>
                <w:rFonts w:ascii="宋体" w:hAnsi="宋体" w:cs="宋体" w:hint="eastAsia"/>
                <w:szCs w:val="21"/>
              </w:rPr>
              <w:t>从事重要港口经营许可、省际和跨地区水路运输业务及水路运输服务业务经营许可</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《中华人民共和国水路运输管理条例》（国务院令第544号）</w:t>
            </w:r>
          </w:p>
          <w:p w:rsidR="003F7F16" w:rsidRDefault="003F7F16" w:rsidP="00E80022">
            <w:pPr>
              <w:spacing w:line="280" w:lineRule="exact"/>
              <w:rPr>
                <w:rFonts w:ascii="宋体" w:hAnsi="宋体" w:cs="宋体" w:hint="eastAsia"/>
                <w:szCs w:val="21"/>
              </w:rPr>
            </w:pPr>
            <w:r>
              <w:rPr>
                <w:rFonts w:ascii="宋体" w:hAnsi="宋体" w:cs="宋体" w:hint="eastAsia"/>
                <w:szCs w:val="21"/>
              </w:rPr>
              <w:t>《国内水路运输管理条例》（国务院令第625号）</w:t>
            </w:r>
          </w:p>
          <w:p w:rsidR="003F7F16" w:rsidRDefault="003F7F16" w:rsidP="00E80022">
            <w:pPr>
              <w:spacing w:line="280" w:lineRule="exact"/>
              <w:rPr>
                <w:rFonts w:ascii="宋体" w:hAnsi="宋体" w:cs="宋体" w:hint="eastAsia"/>
                <w:szCs w:val="21"/>
              </w:rPr>
            </w:pPr>
            <w:r>
              <w:rPr>
                <w:rFonts w:ascii="宋体" w:hAnsi="宋体" w:cs="宋体" w:hint="eastAsia"/>
                <w:szCs w:val="21"/>
              </w:rPr>
              <w:t>《贵州省水路交通管理条例》</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01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16</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从事重要港口经营许可</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autoSpaceDE w:val="0"/>
              <w:autoSpaceDN w:val="0"/>
              <w:spacing w:line="240" w:lineRule="atLeast"/>
              <w:rPr>
                <w:rFonts w:ascii="宋体" w:hAnsi="宋体" w:cs="宋体" w:hint="eastAsia"/>
                <w:szCs w:val="21"/>
              </w:rPr>
            </w:pPr>
            <w:r>
              <w:rPr>
                <w:rFonts w:ascii="宋体" w:hAnsi="宋体" w:cs="宋体" w:hint="eastAsia"/>
                <w:szCs w:val="21"/>
              </w:rPr>
              <w:t>《中华人民共和国港口法》</w:t>
            </w:r>
          </w:p>
          <w:p w:rsidR="003F7F16" w:rsidRDefault="003F7F16" w:rsidP="00E80022">
            <w:pPr>
              <w:spacing w:line="280" w:lineRule="exact"/>
              <w:rPr>
                <w:rFonts w:ascii="宋体" w:hAnsi="宋体" w:cs="宋体" w:hint="eastAsia"/>
                <w:szCs w:val="21"/>
              </w:rPr>
            </w:pPr>
            <w:r>
              <w:rPr>
                <w:rFonts w:ascii="宋体" w:hAnsi="宋体" w:cs="宋体" w:hint="eastAsia"/>
                <w:szCs w:val="21"/>
                <w:lang w:val="zh-CN"/>
              </w:rPr>
              <w:t>《贵州省水路交通管理条例》</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01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省文化厅</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17</w:t>
            </w:r>
          </w:p>
        </w:tc>
        <w:tc>
          <w:tcPr>
            <w:tcW w:w="1211" w:type="dxa"/>
          </w:tcPr>
          <w:p w:rsidR="003F7F16" w:rsidRDefault="003F7F16" w:rsidP="00E80022">
            <w:pPr>
              <w:spacing w:line="280" w:lineRule="exact"/>
              <w:rPr>
                <w:rFonts w:ascii="宋体" w:hAnsi="宋体" w:cs="宋体" w:hint="eastAsia"/>
                <w:szCs w:val="21"/>
              </w:rPr>
            </w:pPr>
            <w:r>
              <w:rPr>
                <w:rFonts w:ascii="宋体" w:hAnsi="宋体" w:cs="宋体" w:hint="eastAsia"/>
                <w:spacing w:val="-4"/>
                <w:szCs w:val="21"/>
              </w:rPr>
              <w:t>权限内文物保护工程资质审批</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pacing w:val="-4"/>
                <w:szCs w:val="21"/>
              </w:rPr>
              <w:t>文物保护工程和移动文物修复资质审批</w:t>
            </w:r>
          </w:p>
        </w:tc>
        <w:tc>
          <w:tcPr>
            <w:tcW w:w="4125" w:type="dxa"/>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4"/>
                <w:szCs w:val="21"/>
              </w:rPr>
              <w:t>《中华人民共和国文物保护法实施条例》（国务院令第377号）</w:t>
            </w:r>
          </w:p>
          <w:p w:rsidR="003F7F16" w:rsidRDefault="003F7F16" w:rsidP="00E80022">
            <w:pPr>
              <w:spacing w:line="280" w:lineRule="exact"/>
              <w:rPr>
                <w:rFonts w:ascii="宋体" w:hAnsi="宋体" w:cs="宋体" w:hint="eastAsia"/>
                <w:spacing w:val="6"/>
                <w:szCs w:val="21"/>
              </w:rPr>
            </w:pPr>
            <w:r>
              <w:rPr>
                <w:rFonts w:ascii="宋体" w:hAnsi="宋体" w:cs="宋体" w:hint="eastAsia"/>
                <w:spacing w:val="6"/>
                <w:szCs w:val="21"/>
              </w:rPr>
              <w:t>《文物保护工程管理办法》（文化部令第26号）</w:t>
            </w:r>
          </w:p>
          <w:p w:rsidR="003F7F16" w:rsidRDefault="003F7F16" w:rsidP="00E80022">
            <w:pPr>
              <w:spacing w:line="280" w:lineRule="exact"/>
              <w:rPr>
                <w:rFonts w:ascii="宋体" w:hAnsi="宋体" w:cs="宋体" w:hint="eastAsia"/>
                <w:szCs w:val="21"/>
                <w:lang w:val="zh-CN"/>
              </w:rPr>
            </w:pPr>
            <w:r>
              <w:rPr>
                <w:rFonts w:ascii="宋体" w:hAnsi="宋体" w:cs="宋体" w:hint="eastAsia"/>
                <w:spacing w:val="6"/>
                <w:szCs w:val="21"/>
              </w:rPr>
              <w:t>《文物保护工程勘察设计资质管理办法》</w:t>
            </w:r>
            <w:r>
              <w:rPr>
                <w:rFonts w:ascii="宋体" w:hAnsi="宋体" w:cs="宋体" w:hint="eastAsia"/>
                <w:szCs w:val="21"/>
              </w:rPr>
              <w:t>（文物保发〔2005〕18号）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010"/>
        </w:trPr>
        <w:tc>
          <w:tcPr>
            <w:tcW w:w="420" w:type="dxa"/>
            <w:vMerge/>
            <w:vAlign w:val="center"/>
          </w:tcPr>
          <w:p w:rsidR="003F7F16" w:rsidRDefault="003F7F16" w:rsidP="00E80022">
            <w:pPr>
              <w:widowControl/>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18</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pacing w:val="-4"/>
                <w:szCs w:val="21"/>
              </w:rPr>
              <w:t>对从事馆藏文物修复、复制、拓印单位的审批</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lang w:val="zh-CN"/>
              </w:rPr>
            </w:pPr>
            <w:r>
              <w:rPr>
                <w:rFonts w:ascii="宋体" w:hAnsi="宋体" w:cs="宋体" w:hint="eastAsia"/>
                <w:spacing w:val="-4"/>
                <w:szCs w:val="21"/>
              </w:rPr>
              <w:t>《中华人民共和国文物保护法实施条例》（国务院令第377号）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01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省文化厅</w:t>
            </w:r>
          </w:p>
        </w:tc>
        <w:tc>
          <w:tcPr>
            <w:tcW w:w="5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19</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设立经营性互联网文化单位审批</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zCs w:val="21"/>
              </w:rPr>
              <w:t>互联网信息服务和设立经营性互联网文化单位审批</w:t>
            </w:r>
          </w:p>
        </w:tc>
        <w:tc>
          <w:tcPr>
            <w:tcW w:w="4125" w:type="dxa"/>
            <w:vAlign w:val="center"/>
          </w:tcPr>
          <w:p w:rsidR="003F7F16" w:rsidRDefault="003F7F16" w:rsidP="00E80022">
            <w:pPr>
              <w:spacing w:line="280" w:lineRule="exact"/>
              <w:rPr>
                <w:rFonts w:ascii="宋体" w:hAnsi="宋体" w:cs="宋体" w:hint="eastAsia"/>
                <w:szCs w:val="21"/>
                <w:lang w:val="zh-CN"/>
              </w:rPr>
            </w:pPr>
            <w:r>
              <w:rPr>
                <w:rStyle w:val="a3"/>
                <w:rFonts w:ascii="宋体" w:hAnsi="宋体" w:cs="宋体" w:hint="eastAsia"/>
                <w:b w:val="0"/>
                <w:bCs w:val="0"/>
                <w:szCs w:val="21"/>
                <w:shd w:val="clear" w:color="auto" w:fill="FFFFFF"/>
              </w:rPr>
              <w:t>《国务院关于第五批取消和下放管理层级行政审批项目的决定》（</w:t>
            </w:r>
            <w:r>
              <w:rPr>
                <w:rFonts w:ascii="宋体" w:hAnsi="宋体" w:cs="宋体" w:hint="eastAsia"/>
                <w:szCs w:val="21"/>
                <w:shd w:val="clear" w:color="auto" w:fill="FFFFFF"/>
              </w:rPr>
              <w:t>国发〔2010〕21号）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2355"/>
        </w:trPr>
        <w:tc>
          <w:tcPr>
            <w:tcW w:w="420" w:type="dxa"/>
            <w:vMerge/>
            <w:vAlign w:val="center"/>
          </w:tcPr>
          <w:p w:rsidR="003F7F16" w:rsidRDefault="003F7F16" w:rsidP="00E80022">
            <w:pPr>
              <w:widowControl/>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20</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互联网信息服务许可</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《互联网信息服务管理办法》（国务院令第292号）</w:t>
            </w:r>
          </w:p>
          <w:p w:rsidR="003F7F16" w:rsidRDefault="003F7F16" w:rsidP="00E80022">
            <w:pPr>
              <w:spacing w:line="280" w:lineRule="exact"/>
              <w:rPr>
                <w:rFonts w:ascii="宋体" w:hAnsi="宋体" w:cs="宋体" w:hint="eastAsia"/>
                <w:szCs w:val="21"/>
                <w:lang w:val="zh-CN"/>
              </w:rPr>
            </w:pPr>
            <w:r>
              <w:rPr>
                <w:rFonts w:ascii="宋体" w:hAnsi="宋体" w:cs="宋体" w:hint="eastAsia"/>
                <w:szCs w:val="21"/>
              </w:rPr>
              <w:t>《教育网站和网校暂行管理办法》（教技〔2000〕5号）</w:t>
            </w:r>
          </w:p>
        </w:tc>
        <w:tc>
          <w:tcPr>
            <w:tcW w:w="1309" w:type="dxa"/>
          </w:tcPr>
          <w:p w:rsidR="003F7F16" w:rsidRDefault="003F7F16" w:rsidP="00E80022">
            <w:pPr>
              <w:spacing w:line="280" w:lineRule="exact"/>
              <w:rPr>
                <w:rFonts w:ascii="宋体" w:hAnsi="宋体" w:cs="宋体" w:hint="eastAsia"/>
                <w:szCs w:val="21"/>
              </w:rPr>
            </w:pPr>
            <w:r>
              <w:rPr>
                <w:rFonts w:ascii="宋体" w:hAnsi="宋体" w:cs="宋体" w:hint="eastAsia"/>
                <w:szCs w:val="21"/>
              </w:rPr>
              <w:t>省教育厅、省新闻出版局、省食品药品监管局根据法律法规规定行使相应审批权。</w:t>
            </w: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省卫生厅</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21</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省级医师执业注册许可</w:t>
            </w:r>
          </w:p>
        </w:tc>
        <w:tc>
          <w:tcPr>
            <w:tcW w:w="1545" w:type="dxa"/>
            <w:vMerge w:val="restart"/>
            <w:vAlign w:val="center"/>
          </w:tcPr>
          <w:p w:rsidR="003F7F16" w:rsidRPr="002549C0" w:rsidRDefault="003F7F16" w:rsidP="00E80022">
            <w:pPr>
              <w:spacing w:line="360" w:lineRule="exact"/>
              <w:jc w:val="left"/>
              <w:rPr>
                <w:rFonts w:ascii="宋体" w:hAnsi="宋体" w:cs="宋体" w:hint="eastAsia"/>
                <w:bCs/>
                <w:spacing w:val="-8"/>
                <w:szCs w:val="21"/>
              </w:rPr>
            </w:pPr>
            <w:r w:rsidRPr="002549C0">
              <w:rPr>
                <w:rFonts w:ascii="宋体" w:hAnsi="宋体" w:cs="宋体" w:hint="eastAsia"/>
                <w:spacing w:val="-8"/>
                <w:szCs w:val="21"/>
              </w:rPr>
              <w:t>省级医师、护士执业注册许可</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w:t>
            </w:r>
            <w:smartTag w:uri="urn:schemas-microsoft-com:office:smarttags" w:element="PersonName">
              <w:smartTagPr>
                <w:attr w:name="ProductID" w:val="和国执业"/>
              </w:smartTagPr>
              <w:r>
                <w:rPr>
                  <w:rFonts w:ascii="宋体" w:hAnsi="宋体" w:cs="宋体" w:hint="eastAsia"/>
                  <w:szCs w:val="21"/>
                </w:rPr>
                <w:t>和国执业</w:t>
              </w:r>
            </w:smartTag>
            <w:r>
              <w:rPr>
                <w:rFonts w:ascii="宋体" w:hAnsi="宋体" w:cs="宋体" w:hint="eastAsia"/>
                <w:szCs w:val="21"/>
              </w:rPr>
              <w:t>医师法》</w:t>
            </w:r>
          </w:p>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《贵州省人口与计划生育条例》</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22</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省级护士执业注册许可</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《中华人民共和国护士条例》（国务院令第517号）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3975"/>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r w:rsidRPr="00E71FA9">
              <w:rPr>
                <w:rFonts w:ascii="宋体" w:hAnsi="宋体" w:cs="宋体" w:hint="eastAsia"/>
                <w:szCs w:val="21"/>
              </w:rPr>
              <w:t>省质监局</w:t>
            </w: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jc w:val="center"/>
              <w:rPr>
                <w:rFonts w:ascii="宋体" w:hAnsi="宋体" w:cs="宋体" w:hint="eastAsia"/>
                <w:szCs w:val="21"/>
              </w:rPr>
            </w:pPr>
          </w:p>
          <w:p w:rsidR="003F7F16" w:rsidRPr="00E71FA9" w:rsidRDefault="003F7F16" w:rsidP="00E80022">
            <w:pPr>
              <w:spacing w:line="240" w:lineRule="exact"/>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23</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pacing w:val="-14"/>
                <w:szCs w:val="21"/>
              </w:rPr>
              <w:t>权限内压力管道的设计、安装、检验单位和人员资格认定</w:t>
            </w:r>
          </w:p>
        </w:tc>
        <w:tc>
          <w:tcPr>
            <w:tcW w:w="1545" w:type="dxa"/>
            <w:vAlign w:val="center"/>
          </w:tcPr>
          <w:p w:rsidR="003F7F16" w:rsidRDefault="003F7F16" w:rsidP="00E80022">
            <w:pPr>
              <w:spacing w:line="360" w:lineRule="exact"/>
              <w:jc w:val="center"/>
              <w:rPr>
                <w:rFonts w:ascii="宋体" w:hAnsi="宋体" w:cs="宋体" w:hint="eastAsia"/>
                <w:bCs/>
                <w:szCs w:val="21"/>
              </w:rPr>
            </w:pPr>
          </w:p>
          <w:p w:rsidR="003F7F16" w:rsidRDefault="003F7F16" w:rsidP="00E80022">
            <w:pPr>
              <w:spacing w:line="360" w:lineRule="exact"/>
              <w:jc w:val="center"/>
              <w:rPr>
                <w:rFonts w:ascii="宋体" w:hAnsi="宋体" w:cs="宋体" w:hint="eastAsia"/>
                <w:bCs/>
                <w:szCs w:val="21"/>
              </w:rPr>
            </w:pPr>
          </w:p>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《国务院对确需保留的行政审批项目设定行政许可的决定》（国务院令第412号）</w:t>
            </w:r>
          </w:p>
        </w:tc>
        <w:tc>
          <w:tcPr>
            <w:tcW w:w="1309" w:type="dxa"/>
          </w:tcPr>
          <w:p w:rsidR="003F7F16" w:rsidRDefault="003F7F16" w:rsidP="00E80022">
            <w:pPr>
              <w:spacing w:line="280" w:lineRule="exact"/>
              <w:rPr>
                <w:rFonts w:ascii="宋体" w:hAnsi="宋体" w:cs="宋体" w:hint="eastAsia"/>
                <w:szCs w:val="21"/>
              </w:rPr>
            </w:pPr>
            <w:r>
              <w:rPr>
                <w:rFonts w:ascii="宋体" w:hAnsi="宋体" w:cs="宋体" w:hint="eastAsia"/>
                <w:spacing w:val="-14"/>
                <w:szCs w:val="21"/>
              </w:rPr>
              <w:t>《中华人民共和国特种设备安全法》规定压力容器（含</w:t>
            </w:r>
            <w:hyperlink r:id="rId5" w:tgtFrame="_blank" w:history="1">
              <w:r>
                <w:rPr>
                  <w:rFonts w:ascii="宋体" w:hAnsi="宋体" w:cs="宋体" w:hint="eastAsia"/>
                  <w:spacing w:val="-14"/>
                  <w:szCs w:val="21"/>
                </w:rPr>
                <w:t>气瓶</w:t>
              </w:r>
            </w:hyperlink>
            <w:r>
              <w:rPr>
                <w:rFonts w:ascii="宋体" w:hAnsi="宋体" w:cs="宋体" w:hint="eastAsia"/>
                <w:spacing w:val="-14"/>
                <w:szCs w:val="21"/>
              </w:rPr>
              <w:t>）、压力管道属特种设备，因此将第23项并入特种设备的设计、安装、检验单位和人员资格等审批事项。</w:t>
            </w: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24</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权限内特种设备作业人员资格证核发</w:t>
            </w:r>
          </w:p>
        </w:tc>
        <w:tc>
          <w:tcPr>
            <w:tcW w:w="1545" w:type="dxa"/>
            <w:vAlign w:val="center"/>
          </w:tcPr>
          <w:p w:rsidR="003F7F16" w:rsidRDefault="003F7F16" w:rsidP="00E80022">
            <w:pPr>
              <w:spacing w:line="280" w:lineRule="exact"/>
              <w:jc w:val="left"/>
              <w:rPr>
                <w:rFonts w:ascii="宋体" w:hAnsi="宋体" w:cs="宋体" w:hint="eastAsia"/>
                <w:szCs w:val="21"/>
              </w:rPr>
            </w:pPr>
            <w:r>
              <w:rPr>
                <w:rFonts w:ascii="宋体" w:hAnsi="宋体" w:cs="宋体" w:hint="eastAsia"/>
                <w:szCs w:val="21"/>
              </w:rPr>
              <w:t>权限内特种设备作业人员资格证核发</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《特种设备安全监察条例》(国务院令第549号)</w:t>
            </w:r>
          </w:p>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《国务院关于第六批取消和调整行政审批项目的决定》（国发〔2012〕52号）</w:t>
            </w:r>
          </w:p>
        </w:tc>
        <w:tc>
          <w:tcPr>
            <w:tcW w:w="1309" w:type="dxa"/>
          </w:tcPr>
          <w:p w:rsidR="003F7F16" w:rsidRDefault="003F7F16" w:rsidP="00E80022">
            <w:pPr>
              <w:spacing w:line="280" w:lineRule="exact"/>
              <w:rPr>
                <w:rFonts w:ascii="宋体" w:hAnsi="宋体" w:cs="宋体" w:hint="eastAsia"/>
                <w:szCs w:val="21"/>
              </w:rPr>
            </w:pPr>
            <w:r>
              <w:rPr>
                <w:rFonts w:ascii="宋体" w:hAnsi="宋体" w:cs="宋体" w:hint="eastAsia"/>
                <w:spacing w:val="-14"/>
                <w:szCs w:val="21"/>
              </w:rPr>
              <w:t>将第23项中的人员资格认定并入此项。</w:t>
            </w:r>
          </w:p>
        </w:tc>
      </w:tr>
      <w:tr w:rsidR="003F7F16" w:rsidTr="00E80022">
        <w:trPr>
          <w:trHeight w:val="595"/>
        </w:trPr>
        <w:tc>
          <w:tcPr>
            <w:tcW w:w="420" w:type="dxa"/>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Align w:val="center"/>
          </w:tcPr>
          <w:p w:rsidR="003F7F16" w:rsidRPr="00E71FA9" w:rsidRDefault="003F7F16" w:rsidP="00E80022">
            <w:pPr>
              <w:spacing w:line="240" w:lineRule="exact"/>
              <w:rPr>
                <w:rFonts w:ascii="宋体" w:hAnsi="宋体" w:cs="宋体" w:hint="eastAsia"/>
                <w:bCs/>
                <w:szCs w:val="21"/>
              </w:rPr>
            </w:pPr>
            <w:r w:rsidRPr="00E71FA9">
              <w:rPr>
                <w:rFonts w:ascii="宋体" w:hAnsi="宋体" w:cs="宋体" w:hint="eastAsia"/>
                <w:bCs/>
                <w:szCs w:val="21"/>
              </w:rPr>
              <w:t>省质监局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25</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D级压力容器设计单位资格许可</w:t>
            </w:r>
          </w:p>
        </w:tc>
        <w:tc>
          <w:tcPr>
            <w:tcW w:w="1545" w:type="dxa"/>
            <w:vAlign w:val="center"/>
          </w:tcPr>
          <w:p w:rsidR="003F7F16" w:rsidRDefault="003F7F16" w:rsidP="00E80022">
            <w:pPr>
              <w:spacing w:line="280" w:lineRule="exact"/>
              <w:jc w:val="left"/>
              <w:rPr>
                <w:rFonts w:ascii="宋体" w:hAnsi="宋体" w:cs="宋体" w:hint="eastAsia"/>
                <w:szCs w:val="21"/>
              </w:rPr>
            </w:pPr>
            <w:r>
              <w:rPr>
                <w:rFonts w:ascii="宋体" w:hAnsi="宋体" w:cs="宋体" w:hint="eastAsia"/>
                <w:szCs w:val="21"/>
              </w:rPr>
              <w:t>权限内特种设备设计单位资格许可</w:t>
            </w:r>
          </w:p>
        </w:tc>
        <w:tc>
          <w:tcPr>
            <w:tcW w:w="4125" w:type="dxa"/>
            <w:vAlign w:val="center"/>
          </w:tcPr>
          <w:p w:rsidR="003F7F16" w:rsidRDefault="003F7F16" w:rsidP="00E80022">
            <w:pPr>
              <w:pStyle w:val="a4"/>
              <w:spacing w:before="0" w:beforeAutospacing="0" w:after="0" w:afterAutospacing="0" w:line="280" w:lineRule="exact"/>
              <w:jc w:val="both"/>
              <w:rPr>
                <w:rFonts w:hint="eastAsia"/>
                <w:sz w:val="21"/>
                <w:szCs w:val="21"/>
              </w:rPr>
            </w:pPr>
            <w:r>
              <w:rPr>
                <w:rFonts w:hint="eastAsia"/>
                <w:sz w:val="21"/>
                <w:szCs w:val="21"/>
              </w:rPr>
              <w:t>《中华人民共和国食品安全法》</w:t>
            </w:r>
          </w:p>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《中华人民共和国工业产品生产许可证管理条例》（国务院令第440号）</w:t>
            </w:r>
          </w:p>
          <w:p w:rsidR="003F7F16" w:rsidRDefault="003F7F16" w:rsidP="00E80022">
            <w:pPr>
              <w:pStyle w:val="a4"/>
              <w:spacing w:before="0" w:beforeAutospacing="0" w:after="0" w:afterAutospacing="0" w:line="280" w:lineRule="exact"/>
              <w:jc w:val="both"/>
              <w:rPr>
                <w:rFonts w:hint="eastAsia"/>
                <w:sz w:val="21"/>
                <w:szCs w:val="21"/>
              </w:rPr>
            </w:pPr>
            <w:r>
              <w:rPr>
                <w:rFonts w:hint="eastAsia"/>
                <w:sz w:val="21"/>
                <w:szCs w:val="21"/>
              </w:rPr>
              <w:t>《国务院关于第六批取消和调整行政审批项目的决定》（国发〔2012〕52号）</w:t>
            </w:r>
          </w:p>
          <w:p w:rsidR="003F7F16" w:rsidRDefault="003F7F16" w:rsidP="00E80022">
            <w:pPr>
              <w:pStyle w:val="a4"/>
              <w:spacing w:before="0" w:beforeAutospacing="0" w:after="0" w:afterAutospacing="0" w:line="280" w:lineRule="exact"/>
              <w:jc w:val="both"/>
              <w:rPr>
                <w:rFonts w:hint="eastAsia"/>
                <w:sz w:val="21"/>
                <w:szCs w:val="21"/>
              </w:rPr>
            </w:pPr>
            <w:r>
              <w:rPr>
                <w:rFonts w:hint="eastAsia"/>
                <w:sz w:val="21"/>
                <w:szCs w:val="21"/>
              </w:rPr>
              <w:t>《食品添加剂生产监督管理规定》（国家质检总局令第127号）</w:t>
            </w:r>
          </w:p>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《食品生产许可管理办法》（国家质检总局令第129号）</w:t>
            </w:r>
          </w:p>
        </w:tc>
        <w:tc>
          <w:tcPr>
            <w:tcW w:w="1309" w:type="dxa"/>
          </w:tcPr>
          <w:p w:rsidR="003F7F16" w:rsidRDefault="003F7F16" w:rsidP="00E80022">
            <w:pPr>
              <w:spacing w:line="280" w:lineRule="exact"/>
              <w:rPr>
                <w:rFonts w:ascii="宋体" w:hAnsi="宋体" w:cs="宋体" w:hint="eastAsia"/>
                <w:szCs w:val="21"/>
              </w:rPr>
            </w:pPr>
            <w:r>
              <w:rPr>
                <w:rFonts w:ascii="宋体" w:hAnsi="宋体" w:cs="宋体" w:hint="eastAsia"/>
                <w:spacing w:val="-14"/>
                <w:szCs w:val="21"/>
              </w:rPr>
              <w:t>将第23项中的设计资格认定与D级压力容器设计单位资格许可合并，名称改为“权限内特种设备设计单位资格许可”。</w:t>
            </w:r>
          </w:p>
        </w:tc>
      </w:tr>
      <w:tr w:rsidR="003F7F16" w:rsidTr="00E80022">
        <w:trPr>
          <w:trHeight w:val="830"/>
        </w:trPr>
        <w:tc>
          <w:tcPr>
            <w:tcW w:w="420" w:type="dxa"/>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省质监局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26</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国家规定范围内特种设备安装改造单位资格许可</w:t>
            </w:r>
          </w:p>
        </w:tc>
        <w:tc>
          <w:tcPr>
            <w:tcW w:w="1545" w:type="dxa"/>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zCs w:val="21"/>
              </w:rPr>
              <w:t>国家规定范围内特种设备安装改造单位资格许可</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《特种设备安全监察条例》(国务院令第549号)</w:t>
            </w:r>
          </w:p>
          <w:p w:rsidR="003F7F16" w:rsidRDefault="003F7F16" w:rsidP="00E80022">
            <w:pPr>
              <w:pStyle w:val="a4"/>
              <w:spacing w:before="0" w:beforeAutospacing="0" w:after="0" w:afterAutospacing="0" w:line="280" w:lineRule="exact"/>
              <w:jc w:val="both"/>
              <w:rPr>
                <w:rFonts w:hint="eastAsia"/>
                <w:sz w:val="21"/>
                <w:szCs w:val="21"/>
              </w:rPr>
            </w:pPr>
            <w:r>
              <w:rPr>
                <w:rFonts w:hint="eastAsia"/>
                <w:sz w:val="21"/>
                <w:szCs w:val="21"/>
              </w:rPr>
              <w:t>《关于调整改革特种设备行政许可工作的公告》（国家质检总局公告2009年第67号）</w:t>
            </w:r>
          </w:p>
        </w:tc>
        <w:tc>
          <w:tcPr>
            <w:tcW w:w="1309"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pacing w:val="-14"/>
                <w:szCs w:val="21"/>
              </w:rPr>
              <w:t>将第23项中的安装资格认定并入此项。</w:t>
            </w: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省质监局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27</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场（厂）内机动车辆的制造、改造、检验许可</w:t>
            </w:r>
          </w:p>
        </w:tc>
        <w:tc>
          <w:tcPr>
            <w:tcW w:w="1545" w:type="dxa"/>
            <w:vMerge w:val="restart"/>
            <w:vAlign w:val="center"/>
          </w:tcPr>
          <w:p w:rsidR="003F7F16" w:rsidRDefault="003F7F16" w:rsidP="00E80022">
            <w:pPr>
              <w:spacing w:line="280" w:lineRule="exact"/>
              <w:rPr>
                <w:rFonts w:ascii="宋体" w:hAnsi="宋体" w:cs="宋体" w:hint="eastAsia"/>
                <w:bCs/>
                <w:szCs w:val="21"/>
              </w:rPr>
            </w:pPr>
            <w:r>
              <w:rPr>
                <w:rFonts w:ascii="宋体" w:hAnsi="宋体" w:cs="宋体" w:hint="eastAsia"/>
                <w:szCs w:val="21"/>
              </w:rPr>
              <w:t>权限内特种设备检验检测机构核准</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《国务院对确需保留的行政审批项目设定行政许可的决定》（国务院令第412号）</w:t>
            </w:r>
          </w:p>
          <w:p w:rsidR="003F7F16" w:rsidRDefault="003F7F16" w:rsidP="00E80022">
            <w:pPr>
              <w:pStyle w:val="a4"/>
              <w:spacing w:before="0" w:beforeAutospacing="0" w:after="0" w:afterAutospacing="0" w:line="280" w:lineRule="exact"/>
              <w:jc w:val="both"/>
              <w:rPr>
                <w:rFonts w:hint="eastAsia"/>
                <w:sz w:val="21"/>
                <w:szCs w:val="21"/>
              </w:rPr>
            </w:pPr>
            <w:r>
              <w:rPr>
                <w:rFonts w:hint="eastAsia"/>
                <w:sz w:val="21"/>
                <w:szCs w:val="21"/>
              </w:rPr>
              <w:t>《国务院关于第五批取消和下放管理层级行政审批项目的决定》（国发〔2010〕21号）</w:t>
            </w:r>
          </w:p>
        </w:tc>
        <w:tc>
          <w:tcPr>
            <w:tcW w:w="1309" w:type="dxa"/>
            <w:vMerge w:val="restart"/>
          </w:tcPr>
          <w:p w:rsidR="003F7F16" w:rsidRDefault="003F7F16" w:rsidP="00E80022">
            <w:pPr>
              <w:spacing w:line="280" w:lineRule="exact"/>
              <w:rPr>
                <w:rFonts w:ascii="宋体" w:hAnsi="宋体" w:cs="宋体" w:hint="eastAsia"/>
                <w:szCs w:val="21"/>
              </w:rPr>
            </w:pPr>
            <w:r>
              <w:rPr>
                <w:rFonts w:ascii="宋体" w:hAnsi="宋体" w:cs="宋体" w:hint="eastAsia"/>
                <w:szCs w:val="21"/>
              </w:rPr>
              <w:t>“场（厂）内机动车辆的制造、改造、检验许可”中，只有检验许可权在省质监局，制造、改造许可权在国家质检总局。</w:t>
            </w: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28</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气瓶检测机构核准</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tcPr>
          <w:p w:rsidR="003F7F16" w:rsidRDefault="003F7F16" w:rsidP="00E80022">
            <w:pPr>
              <w:spacing w:line="280" w:lineRule="exact"/>
              <w:rPr>
                <w:rFonts w:ascii="宋体" w:hAnsi="宋体" w:cs="宋体" w:hint="eastAsia"/>
                <w:szCs w:val="21"/>
              </w:rPr>
            </w:pPr>
            <w:r>
              <w:rPr>
                <w:rFonts w:ascii="宋体" w:hAnsi="宋体" w:cs="宋体" w:hint="eastAsia"/>
                <w:szCs w:val="21"/>
              </w:rPr>
              <w:t>《特种设备安全监察条例》(国务院令第549号)</w:t>
            </w:r>
          </w:p>
          <w:p w:rsidR="003F7F16" w:rsidRDefault="003F7F16" w:rsidP="00E80022">
            <w:pPr>
              <w:spacing w:line="280" w:lineRule="exact"/>
              <w:rPr>
                <w:rFonts w:ascii="宋体" w:hAnsi="宋体" w:cs="宋体" w:hint="eastAsia"/>
                <w:szCs w:val="21"/>
              </w:rPr>
            </w:pPr>
            <w:r>
              <w:rPr>
                <w:rFonts w:ascii="宋体" w:hAnsi="宋体" w:cs="宋体" w:hint="eastAsia"/>
                <w:szCs w:val="21"/>
              </w:rPr>
              <w:t>《国务院关于第六批取消和调整行政审批项目的决定》（国发〔2012〕52号）</w:t>
            </w:r>
          </w:p>
          <w:p w:rsidR="003F7F16" w:rsidRDefault="003F7F16" w:rsidP="00E80022">
            <w:pPr>
              <w:pStyle w:val="a4"/>
              <w:spacing w:before="0" w:beforeAutospacing="0" w:after="0" w:afterAutospacing="0" w:line="280" w:lineRule="exact"/>
              <w:jc w:val="both"/>
              <w:rPr>
                <w:rFonts w:hint="eastAsia"/>
                <w:sz w:val="21"/>
                <w:szCs w:val="21"/>
              </w:rPr>
            </w:pPr>
            <w:r>
              <w:rPr>
                <w:rFonts w:hint="eastAsia"/>
                <w:sz w:val="21"/>
                <w:szCs w:val="21"/>
              </w:rPr>
              <w:t>《关于调整改革特种设备行政许可工作的公告》（国家质检总局公告2009年第67号）</w:t>
            </w:r>
          </w:p>
        </w:tc>
        <w:tc>
          <w:tcPr>
            <w:tcW w:w="1309" w:type="dxa"/>
            <w:vMerge/>
          </w:tcPr>
          <w:p w:rsidR="003F7F16" w:rsidRDefault="003F7F16" w:rsidP="00E80022">
            <w:pPr>
              <w:spacing w:line="280" w:lineRule="exact"/>
              <w:rPr>
                <w:rFonts w:ascii="宋体" w:hAnsi="宋体" w:cs="宋体" w:hint="eastAsia"/>
                <w:szCs w:val="21"/>
              </w:rPr>
            </w:pPr>
          </w:p>
        </w:tc>
      </w:tr>
      <w:tr w:rsidR="003F7F16" w:rsidTr="00E80022">
        <w:trPr>
          <w:trHeight w:val="1315"/>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省质监局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29</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权限内计量检定人员计量检定证件核发</w:t>
            </w:r>
          </w:p>
        </w:tc>
        <w:tc>
          <w:tcPr>
            <w:tcW w:w="1545" w:type="dxa"/>
            <w:vMerge w:val="restart"/>
            <w:vAlign w:val="center"/>
          </w:tcPr>
          <w:p w:rsidR="003F7F16" w:rsidRDefault="003F7F16" w:rsidP="00E80022">
            <w:pPr>
              <w:spacing w:line="280" w:lineRule="exact"/>
              <w:jc w:val="left"/>
              <w:rPr>
                <w:rFonts w:ascii="宋体" w:hAnsi="宋体" w:cs="宋体" w:hint="eastAsia"/>
                <w:bCs/>
                <w:szCs w:val="21"/>
              </w:rPr>
            </w:pPr>
            <w:r>
              <w:rPr>
                <w:rFonts w:ascii="宋体" w:hAnsi="宋体" w:cs="宋体" w:hint="eastAsia"/>
                <w:szCs w:val="21"/>
              </w:rPr>
              <w:t>权限内计量检定人员计量检定证件核发</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《中华人民共和国计量法》</w:t>
            </w:r>
          </w:p>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《中华人民共和国计量法实施细则》</w:t>
            </w:r>
          </w:p>
          <w:p w:rsidR="003F7F16" w:rsidRDefault="003F7F16" w:rsidP="00E80022">
            <w:pPr>
              <w:spacing w:line="280" w:lineRule="exact"/>
              <w:rPr>
                <w:rFonts w:ascii="宋体" w:hAnsi="宋体" w:cs="宋体" w:hint="eastAsia"/>
                <w:szCs w:val="21"/>
              </w:rPr>
            </w:pPr>
            <w:r>
              <w:rPr>
                <w:rFonts w:ascii="宋体" w:hAnsi="宋体" w:cs="宋体" w:hint="eastAsia"/>
                <w:szCs w:val="21"/>
              </w:rPr>
              <w:t>《计量检定人员管理办法》（国家质检总局令第105号）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25"/>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30</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测绘计量检定人员资格认定</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《中华人民共和国计量法实施细则》</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605"/>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省新闻出版局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31</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权限内印刷企业接受委托印刷内部资料性出版物核准</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zCs w:val="21"/>
              </w:rPr>
              <w:t>权限内印刷企业接受委托印刷内部资料性出版物、接受委托印刷宗教用品和宗教内容的内部资料性出版物核准审批</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《印刷业管理条例》（国务院令第315号）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225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32</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印刷企业接受委托印刷宗教用品和宗教内容的内部资料性出版物审批</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《印刷业管理条例》（国务院令第315号）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325"/>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szCs w:val="21"/>
              </w:rPr>
              <w:t>省食品药品监管局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33</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权限内药品生产企业的药品生产质量管理规范认证</w:t>
            </w:r>
          </w:p>
        </w:tc>
        <w:tc>
          <w:tcPr>
            <w:tcW w:w="1545" w:type="dxa"/>
            <w:vMerge w:val="restart"/>
            <w:vAlign w:val="center"/>
          </w:tcPr>
          <w:p w:rsidR="003F7F16" w:rsidRDefault="003F7F16" w:rsidP="00E80022">
            <w:pPr>
              <w:spacing w:line="360" w:lineRule="exact"/>
              <w:jc w:val="left"/>
              <w:rPr>
                <w:rFonts w:ascii="宋体" w:hAnsi="宋体" w:cs="宋体" w:hint="eastAsia"/>
                <w:bCs/>
                <w:szCs w:val="21"/>
              </w:rPr>
            </w:pPr>
            <w:r>
              <w:rPr>
                <w:rFonts w:ascii="宋体" w:hAnsi="宋体" w:cs="宋体" w:hint="eastAsia"/>
                <w:szCs w:val="21"/>
              </w:rPr>
              <w:t>药品生产（委托生产）企业许可和权限内药品生产企业的药品生产质量管理规范认证</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《中华人民共和国药品管理法》</w:t>
            </w:r>
          </w:p>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《中华人民共和国药品管理法实施条例》（国务院令第360号）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1275"/>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Pr="00E71FA9" w:rsidRDefault="003F7F16" w:rsidP="00E80022">
            <w:pPr>
              <w:spacing w:line="24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34</w:t>
            </w:r>
          </w:p>
        </w:tc>
        <w:tc>
          <w:tcPr>
            <w:tcW w:w="1211"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药品生产（委托生产）企业许可</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《中华人民共和国药品管理法》</w:t>
            </w:r>
          </w:p>
          <w:p w:rsidR="003F7F16" w:rsidRDefault="003F7F16" w:rsidP="00E80022">
            <w:pPr>
              <w:spacing w:line="280" w:lineRule="exact"/>
              <w:rPr>
                <w:rFonts w:ascii="宋体" w:hAnsi="宋体" w:cs="宋体" w:hint="eastAsia"/>
                <w:szCs w:val="21"/>
              </w:rPr>
            </w:pPr>
            <w:r>
              <w:rPr>
                <w:rFonts w:ascii="宋体" w:hAnsi="宋体" w:cs="宋体" w:hint="eastAsia"/>
                <w:szCs w:val="21"/>
              </w:rPr>
              <w:t>《血液制品管理条例》（国务院令第208号）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restart"/>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restart"/>
            <w:vAlign w:val="center"/>
          </w:tcPr>
          <w:p w:rsidR="003F7F16" w:rsidRPr="00E71FA9" w:rsidRDefault="003F7F16" w:rsidP="00E80022">
            <w:pPr>
              <w:spacing w:line="240" w:lineRule="exact"/>
              <w:jc w:val="center"/>
              <w:rPr>
                <w:rFonts w:ascii="宋体" w:hAnsi="宋体" w:cs="宋体" w:hint="eastAsia"/>
                <w:bCs/>
                <w:szCs w:val="21"/>
              </w:rPr>
            </w:pPr>
            <w:r w:rsidRPr="00E71FA9">
              <w:rPr>
                <w:rFonts w:ascii="宋体" w:hAnsi="宋体" w:cs="宋体" w:hint="eastAsia"/>
                <w:bCs/>
                <w:szCs w:val="21"/>
              </w:rPr>
              <w:t>省食品药品监管局</w:t>
            </w: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35</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药品经营（批发）质量管理规范认证</w:t>
            </w:r>
          </w:p>
        </w:tc>
        <w:tc>
          <w:tcPr>
            <w:tcW w:w="1545" w:type="dxa"/>
            <w:vMerge w:val="restart"/>
            <w:vAlign w:val="center"/>
          </w:tcPr>
          <w:p w:rsidR="003F7F16" w:rsidRDefault="003F7F16" w:rsidP="00E80022">
            <w:pPr>
              <w:spacing w:line="280" w:lineRule="exact"/>
              <w:rPr>
                <w:rFonts w:ascii="宋体" w:hAnsi="宋体" w:cs="宋体" w:hint="eastAsia"/>
                <w:bCs/>
                <w:szCs w:val="21"/>
              </w:rPr>
            </w:pPr>
            <w:r>
              <w:rPr>
                <w:rFonts w:ascii="宋体" w:hAnsi="宋体" w:cs="宋体" w:hint="eastAsia"/>
                <w:szCs w:val="21"/>
              </w:rPr>
              <w:t>药品经营（批发）企业许可和药品经营（批发）质量管理规范认证</w:t>
            </w: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《中华人民共和国药品管理法》</w:t>
            </w:r>
          </w:p>
          <w:p w:rsidR="003F7F16" w:rsidRDefault="003F7F16" w:rsidP="00E80022">
            <w:pPr>
              <w:spacing w:line="280" w:lineRule="exact"/>
              <w:rPr>
                <w:rFonts w:ascii="宋体" w:hAnsi="宋体" w:cs="宋体" w:hint="eastAsia"/>
                <w:spacing w:val="-4"/>
                <w:szCs w:val="21"/>
              </w:rPr>
            </w:pPr>
            <w:r>
              <w:rPr>
                <w:rFonts w:ascii="宋体" w:hAnsi="宋体" w:cs="宋体" w:hint="eastAsia"/>
                <w:spacing w:val="5"/>
                <w:szCs w:val="21"/>
              </w:rPr>
              <w:t>《关于印发&lt;药品经营质量管理规范认证管理办法&gt;的通知》（国食药监市〔2003〕25号）</w:t>
            </w:r>
          </w:p>
        </w:tc>
        <w:tc>
          <w:tcPr>
            <w:tcW w:w="1309" w:type="dxa"/>
          </w:tcPr>
          <w:p w:rsidR="003F7F16" w:rsidRDefault="003F7F16" w:rsidP="00E80022">
            <w:pPr>
              <w:spacing w:line="280" w:lineRule="exact"/>
              <w:rPr>
                <w:rFonts w:ascii="宋体" w:hAnsi="宋体" w:cs="宋体" w:hint="eastAsia"/>
                <w:szCs w:val="21"/>
              </w:rPr>
            </w:pPr>
          </w:p>
        </w:tc>
      </w:tr>
      <w:tr w:rsidR="003F7F16" w:rsidTr="00E80022">
        <w:trPr>
          <w:trHeight w:val="830"/>
        </w:trPr>
        <w:tc>
          <w:tcPr>
            <w:tcW w:w="420" w:type="dxa"/>
            <w:vMerge/>
            <w:vAlign w:val="center"/>
          </w:tcPr>
          <w:p w:rsidR="003F7F16" w:rsidRDefault="003F7F16" w:rsidP="00E80022">
            <w:pPr>
              <w:widowControl/>
              <w:numPr>
                <w:ilvl w:val="0"/>
                <w:numId w:val="1"/>
              </w:numPr>
              <w:adjustRightInd w:val="0"/>
              <w:snapToGrid w:val="0"/>
              <w:spacing w:after="200" w:line="360" w:lineRule="exact"/>
              <w:jc w:val="center"/>
              <w:rPr>
                <w:rFonts w:ascii="宋体" w:hAnsi="宋体" w:cs="宋体" w:hint="eastAsia"/>
                <w:bCs/>
                <w:szCs w:val="21"/>
              </w:rPr>
            </w:pPr>
          </w:p>
        </w:tc>
        <w:tc>
          <w:tcPr>
            <w:tcW w:w="525" w:type="dxa"/>
            <w:vMerge/>
            <w:vAlign w:val="center"/>
          </w:tcPr>
          <w:p w:rsidR="003F7F16" w:rsidRDefault="003F7F16" w:rsidP="00E80022">
            <w:pPr>
              <w:spacing w:line="200" w:lineRule="exact"/>
              <w:jc w:val="center"/>
              <w:rPr>
                <w:rFonts w:ascii="宋体" w:hAnsi="宋体" w:cs="宋体" w:hint="eastAsia"/>
                <w:bCs/>
                <w:szCs w:val="21"/>
              </w:rPr>
            </w:pPr>
          </w:p>
        </w:tc>
        <w:tc>
          <w:tcPr>
            <w:tcW w:w="525" w:type="dxa"/>
            <w:vAlign w:val="center"/>
          </w:tcPr>
          <w:p w:rsidR="003F7F16" w:rsidRDefault="003F7F16" w:rsidP="00E80022">
            <w:pPr>
              <w:spacing w:line="280" w:lineRule="exact"/>
              <w:jc w:val="center"/>
              <w:rPr>
                <w:rFonts w:ascii="宋体" w:hAnsi="宋体" w:cs="宋体" w:hint="eastAsia"/>
                <w:szCs w:val="21"/>
              </w:rPr>
            </w:pPr>
            <w:r>
              <w:rPr>
                <w:rFonts w:ascii="宋体" w:hAnsi="宋体" w:cs="宋体" w:hint="eastAsia"/>
                <w:szCs w:val="21"/>
              </w:rPr>
              <w:t>36</w:t>
            </w:r>
          </w:p>
        </w:tc>
        <w:tc>
          <w:tcPr>
            <w:tcW w:w="1211" w:type="dxa"/>
            <w:vAlign w:val="center"/>
          </w:tcPr>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药品经营（批发）企业许可</w:t>
            </w:r>
          </w:p>
        </w:tc>
        <w:tc>
          <w:tcPr>
            <w:tcW w:w="1545" w:type="dxa"/>
            <w:vMerge/>
            <w:vAlign w:val="center"/>
          </w:tcPr>
          <w:p w:rsidR="003F7F16" w:rsidRDefault="003F7F16" w:rsidP="00E80022">
            <w:pPr>
              <w:spacing w:line="360" w:lineRule="exact"/>
              <w:jc w:val="center"/>
              <w:rPr>
                <w:rFonts w:ascii="宋体" w:hAnsi="宋体" w:cs="宋体" w:hint="eastAsia"/>
                <w:bCs/>
                <w:szCs w:val="21"/>
              </w:rPr>
            </w:pPr>
          </w:p>
        </w:tc>
        <w:tc>
          <w:tcPr>
            <w:tcW w:w="4125" w:type="dxa"/>
            <w:vAlign w:val="center"/>
          </w:tcPr>
          <w:p w:rsidR="003F7F16" w:rsidRDefault="003F7F16" w:rsidP="00E80022">
            <w:pPr>
              <w:spacing w:line="280" w:lineRule="exact"/>
              <w:rPr>
                <w:rFonts w:ascii="宋体" w:hAnsi="宋体" w:cs="宋体" w:hint="eastAsia"/>
                <w:szCs w:val="21"/>
              </w:rPr>
            </w:pPr>
            <w:r>
              <w:rPr>
                <w:rFonts w:ascii="宋体" w:hAnsi="宋体" w:cs="宋体" w:hint="eastAsia"/>
                <w:szCs w:val="21"/>
              </w:rPr>
              <w:t>《中华人民共和国药品管理法》</w:t>
            </w:r>
          </w:p>
          <w:p w:rsidR="003F7F16" w:rsidRDefault="003F7F16" w:rsidP="00E80022">
            <w:pPr>
              <w:spacing w:line="280" w:lineRule="exact"/>
              <w:rPr>
                <w:rFonts w:ascii="宋体" w:hAnsi="宋体" w:cs="宋体" w:hint="eastAsia"/>
                <w:spacing w:val="-4"/>
                <w:szCs w:val="21"/>
              </w:rPr>
            </w:pPr>
            <w:r>
              <w:rPr>
                <w:rFonts w:ascii="宋体" w:hAnsi="宋体" w:cs="宋体" w:hint="eastAsia"/>
                <w:szCs w:val="21"/>
              </w:rPr>
              <w:t>《血液制品管理条例》（国务院令第208号）</w:t>
            </w:r>
          </w:p>
        </w:tc>
        <w:tc>
          <w:tcPr>
            <w:tcW w:w="1309" w:type="dxa"/>
          </w:tcPr>
          <w:p w:rsidR="003F7F16" w:rsidRDefault="003F7F16" w:rsidP="00E80022">
            <w:pPr>
              <w:spacing w:line="280" w:lineRule="exact"/>
              <w:rPr>
                <w:rFonts w:ascii="宋体" w:hAnsi="宋体" w:cs="宋体" w:hint="eastAsia"/>
                <w:szCs w:val="21"/>
              </w:rPr>
            </w:pPr>
          </w:p>
        </w:tc>
      </w:tr>
    </w:tbl>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 w:rsidR="003F7F16" w:rsidRDefault="003F7F16" w:rsidP="003F7F16">
      <w:pPr>
        <w:pStyle w:val="2"/>
        <w:spacing w:line="560" w:lineRule="exact"/>
        <w:ind w:firstLine="880"/>
        <w:rPr>
          <w:rFonts w:ascii="方正小标宋简体" w:eastAsia="方正小标宋简体" w:hAnsi="方正小标宋简体" w:cs="方正小标宋简体" w:hint="eastAsia"/>
          <w:b w:val="0"/>
          <w:bCs/>
          <w:kern w:val="0"/>
          <w:sz w:val="44"/>
          <w:szCs w:val="44"/>
        </w:rPr>
      </w:pPr>
    </w:p>
    <w:p w:rsidR="00027F0B" w:rsidRDefault="00027F0B"/>
    <w:sectPr w:rsidR="00027F0B">
      <w:pgSz w:w="11907" w:h="16840"/>
      <w:pgMar w:top="1440" w:right="1803" w:bottom="1440" w:left="1803" w:header="720" w:footer="720" w:gutter="0"/>
      <w:cols w:space="720"/>
      <w:docGrid w:linePitch="2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center"/>
      <w:pPr>
        <w:tabs>
          <w:tab w:val="num" w:pos="0"/>
        </w:tabs>
        <w:ind w:firstLine="113"/>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7F16"/>
    <w:rsid w:val="00027F0B"/>
    <w:rsid w:val="003F7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F7F16"/>
    <w:rPr>
      <w:b/>
      <w:bCs/>
    </w:rPr>
  </w:style>
  <w:style w:type="paragraph" w:styleId="2">
    <w:name w:val="Body Text Indent 2"/>
    <w:basedOn w:val="a"/>
    <w:link w:val="2Char"/>
    <w:rsid w:val="003F7F16"/>
    <w:pPr>
      <w:ind w:firstLineChars="200" w:firstLine="482"/>
    </w:pPr>
    <w:rPr>
      <w:rFonts w:ascii="宋体" w:hAnsi="宋体"/>
      <w:b/>
      <w:color w:val="000000"/>
      <w:sz w:val="24"/>
    </w:rPr>
  </w:style>
  <w:style w:type="character" w:customStyle="1" w:styleId="2Char">
    <w:name w:val="正文文本缩进 2 Char"/>
    <w:basedOn w:val="a0"/>
    <w:link w:val="2"/>
    <w:rsid w:val="003F7F16"/>
    <w:rPr>
      <w:rFonts w:ascii="宋体" w:eastAsia="宋体" w:hAnsi="宋体" w:cs="Times New Roman"/>
      <w:b/>
      <w:color w:val="000000"/>
      <w:sz w:val="24"/>
      <w:szCs w:val="24"/>
    </w:rPr>
  </w:style>
  <w:style w:type="paragraph" w:styleId="a4">
    <w:name w:val="Normal (Web)"/>
    <w:basedOn w:val="a"/>
    <w:rsid w:val="003F7F1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ike.baidu.com/view/24136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2013-12-20T08:00:00Z</dcterms:created>
  <dcterms:modified xsi:type="dcterms:W3CDTF">2013-12-20T08:00:00Z</dcterms:modified>
</cp:coreProperties>
</file>